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0</w:t>
      </w:r>
      <w:r>
        <w:rPr>
          <w:rFonts w:hint="eastAsia" w:eastAsia="仿宋_GB2312" w:cs="Times New Roman"/>
          <w:b w:val="0"/>
          <w:bCs w:val="0"/>
          <w:color w:val="auto"/>
          <w:sz w:val="32"/>
          <w:szCs w:val="32"/>
          <w:highlight w:val="none"/>
          <w:lang w:val="en-US" w:eastAsia="zh-CN"/>
        </w:rPr>
        <w:t>08</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0" w:name="bookmark3"/>
      <w:r>
        <w:rPr>
          <w:rFonts w:hint="eastAsia" w:ascii="黑体" w:hAnsi="黑体" w:eastAsia="黑体" w:cs="黑体"/>
          <w:color w:val="000000"/>
          <w:spacing w:val="0"/>
          <w:w w:val="100"/>
          <w:position w:val="0"/>
          <w:sz w:val="32"/>
          <w:szCs w:val="32"/>
        </w:rPr>
        <w:t>一</w:t>
      </w:r>
      <w:bookmarkEnd w:id="0"/>
      <w:r>
        <w:rPr>
          <w:rFonts w:hint="eastAsia" w:ascii="黑体" w:hAnsi="黑体" w:eastAsia="黑体" w:cs="黑体"/>
          <w:color w:val="000000"/>
          <w:spacing w:val="0"/>
          <w:w w:val="100"/>
          <w:position w:val="0"/>
          <w:sz w:val="32"/>
          <w:szCs w:val="32"/>
        </w:rPr>
        <w:t>、网上挂牌出让地块基本情况及规划指标要求（见附表）</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1" w:name="bookmark4"/>
      <w:r>
        <w:rPr>
          <w:rFonts w:hint="eastAsia" w:ascii="黑体" w:hAnsi="黑体" w:eastAsia="黑体" w:cs="黑体"/>
          <w:color w:val="000000"/>
          <w:spacing w:val="0"/>
          <w:w w:val="100"/>
          <w:position w:val="0"/>
          <w:sz w:val="32"/>
          <w:szCs w:val="32"/>
        </w:rPr>
        <w:t>二</w:t>
      </w:r>
      <w:bookmarkEnd w:id="1"/>
      <w:r>
        <w:rPr>
          <w:rFonts w:hint="eastAsia" w:ascii="黑体" w:hAnsi="黑体" w:eastAsia="黑体" w:cs="黑体"/>
          <w:color w:val="000000"/>
          <w:spacing w:val="0"/>
          <w:w w:val="100"/>
          <w:position w:val="0"/>
          <w:sz w:val="32"/>
          <w:szCs w:val="32"/>
        </w:rPr>
        <w:t>、挂牌起始价及加价幅度</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eastAsia" w:ascii="Times New Roman" w:hAnsi="Times New Roman" w:eastAsia="仿宋_GB2312" w:cs="Times New Roman"/>
          <w:color w:val="000000"/>
          <w:spacing w:val="0"/>
          <w:w w:val="100"/>
          <w:position w:val="0"/>
          <w:sz w:val="32"/>
          <w:szCs w:val="32"/>
          <w:lang w:val="en-US" w:eastAsia="zh-CN"/>
        </w:rPr>
        <w:t>4361</w:t>
      </w:r>
      <w:r>
        <w:rPr>
          <w:rFonts w:hint="default" w:ascii="Times New Roman" w:hAnsi="Times New Roman" w:eastAsia="仿宋_GB2312" w:cs="Times New Roman"/>
          <w:color w:val="000000"/>
          <w:spacing w:val="0"/>
          <w:w w:val="100"/>
          <w:position w:val="0"/>
          <w:sz w:val="32"/>
          <w:szCs w:val="32"/>
        </w:rPr>
        <w:t>万元,每次报价加价幅度为人民币</w:t>
      </w:r>
      <w:r>
        <w:rPr>
          <w:rFonts w:hint="eastAsia" w:ascii="Times New Roman" w:hAnsi="Times New Roman" w:eastAsia="仿宋_GB2312" w:cs="Times New Roman"/>
          <w:color w:val="000000"/>
          <w:spacing w:val="0"/>
          <w:w w:val="100"/>
          <w:position w:val="0"/>
          <w:sz w:val="32"/>
          <w:szCs w:val="32"/>
          <w:lang w:val="en-US" w:eastAsia="zh-CN"/>
        </w:rPr>
        <w:t>50</w:t>
      </w:r>
      <w:r>
        <w:rPr>
          <w:rFonts w:hint="default" w:ascii="Times New Roman" w:hAnsi="Times New Roman" w:eastAsia="仿宋_GB2312" w:cs="Times New Roman"/>
          <w:color w:val="000000"/>
          <w:spacing w:val="0"/>
          <w:w w:val="100"/>
          <w:position w:val="0"/>
          <w:sz w:val="32"/>
          <w:szCs w:val="32"/>
        </w:rPr>
        <w:t>万元的整数倍。</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2" w:name="bookmark5"/>
      <w:r>
        <w:rPr>
          <w:rFonts w:hint="default" w:ascii="黑体" w:hAnsi="黑体" w:eastAsia="黑体" w:cs="黑体"/>
          <w:color w:val="000000"/>
          <w:spacing w:val="0"/>
          <w:w w:val="100"/>
          <w:position w:val="0"/>
          <w:sz w:val="32"/>
          <w:szCs w:val="32"/>
        </w:rPr>
        <w:t>三</w:t>
      </w:r>
      <w:bookmarkEnd w:id="2"/>
      <w:r>
        <w:rPr>
          <w:rFonts w:hint="default" w:ascii="黑体" w:hAnsi="黑体" w:eastAsia="黑体" w:cs="黑体"/>
          <w:color w:val="000000"/>
          <w:spacing w:val="0"/>
          <w:w w:val="100"/>
          <w:position w:val="0"/>
          <w:sz w:val="32"/>
          <w:szCs w:val="32"/>
        </w:rPr>
        <w:t>、时间安排</w:t>
      </w:r>
    </w:p>
    <w:p>
      <w:pPr>
        <w:pStyle w:val="14"/>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bookmarkStart w:id="3" w:name="bookmark9"/>
      <w:r>
        <w:rPr>
          <w:rFonts w:hint="default" w:ascii="Times New Roman" w:hAnsi="Times New Roman" w:eastAsia="仿宋_GB2312" w:cs="Times New Roman"/>
          <w:color w:val="000000"/>
          <w:spacing w:val="0"/>
          <w:w w:val="100"/>
          <w:position w:val="0"/>
          <w:sz w:val="32"/>
          <w:szCs w:val="32"/>
          <w:highlight w:val="none"/>
        </w:rPr>
        <w:t>（一）公告时间：202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21</w:t>
      </w:r>
      <w:r>
        <w:rPr>
          <w:rFonts w:hint="default" w:ascii="Times New Roman" w:hAnsi="Times New Roman" w:eastAsia="仿宋_GB2312" w:cs="Times New Roman"/>
          <w:color w:val="000000"/>
          <w:spacing w:val="0"/>
          <w:w w:val="100"/>
          <w:position w:val="0"/>
          <w:sz w:val="32"/>
          <w:szCs w:val="32"/>
          <w:highlight w:val="none"/>
        </w:rPr>
        <w:t>日至202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13</w:t>
      </w:r>
      <w:r>
        <w:rPr>
          <w:rFonts w:hint="default" w:ascii="Times New Roman" w:hAnsi="Times New Roman" w:eastAsia="仿宋_GB2312" w:cs="Times New Roman"/>
          <w:color w:val="000000"/>
          <w:spacing w:val="0"/>
          <w:w w:val="100"/>
          <w:position w:val="0"/>
          <w:sz w:val="32"/>
          <w:szCs w:val="32"/>
          <w:highlight w:val="none"/>
        </w:rPr>
        <w:t>日。</w:t>
      </w:r>
    </w:p>
    <w:p>
      <w:pPr>
        <w:pStyle w:val="14"/>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（二）网上挂牌竞买时间：202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13</w:t>
      </w:r>
      <w:r>
        <w:rPr>
          <w:rFonts w:hint="default" w:ascii="Times New Roman" w:hAnsi="Times New Roman" w:eastAsia="仿宋_GB2312" w:cs="Times New Roman"/>
          <w:color w:val="000000"/>
          <w:spacing w:val="0"/>
          <w:w w:val="100"/>
          <w:position w:val="0"/>
          <w:sz w:val="32"/>
          <w:szCs w:val="32"/>
          <w:highlight w:val="none"/>
        </w:rPr>
        <w:t>日9时至202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27</w:t>
      </w:r>
      <w:r>
        <w:rPr>
          <w:rFonts w:hint="default" w:ascii="Times New Roman" w:hAnsi="Times New Roman" w:eastAsia="仿宋_GB2312" w:cs="Times New Roman"/>
          <w:color w:val="000000"/>
          <w:spacing w:val="0"/>
          <w:w w:val="100"/>
          <w:position w:val="0"/>
          <w:sz w:val="32"/>
          <w:szCs w:val="32"/>
          <w:highlight w:val="none"/>
        </w:rPr>
        <w:t>日10时。</w:t>
      </w:r>
    </w:p>
    <w:p>
      <w:pPr>
        <w:pStyle w:val="14"/>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（三）竞买保证金到账截止时间为：202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27</w:t>
      </w:r>
      <w:r>
        <w:rPr>
          <w:rFonts w:hint="default" w:ascii="Times New Roman" w:hAnsi="Times New Roman" w:eastAsia="仿宋_GB2312" w:cs="Times New Roman"/>
          <w:color w:val="000000"/>
          <w:spacing w:val="0"/>
          <w:w w:val="100"/>
          <w:position w:val="0"/>
          <w:sz w:val="32"/>
          <w:szCs w:val="32"/>
          <w:highlight w:val="none"/>
        </w:rPr>
        <w:t>日9时。</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四</w:t>
      </w:r>
      <w:bookmarkEnd w:id="3"/>
      <w:r>
        <w:rPr>
          <w:rFonts w:hint="default" w:ascii="黑体" w:hAnsi="黑体" w:eastAsia="黑体" w:cs="黑体"/>
          <w:color w:val="000000"/>
          <w:spacing w:val="0"/>
          <w:w w:val="100"/>
          <w:position w:val="0"/>
          <w:sz w:val="32"/>
          <w:szCs w:val="32"/>
        </w:rPr>
        <w:t>、竞买资格及要求</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14"/>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4" w:name="bookmark10"/>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一）</w:t>
      </w:r>
      <w:r>
        <w:rPr>
          <w:rFonts w:hint="default" w:ascii="Times New Roman" w:hAnsi="Times New Roman" w:eastAsia="仿宋_GB2312" w:cs="Times New Roman"/>
          <w:color w:val="000000"/>
          <w:spacing w:val="0"/>
          <w:w w:val="100"/>
          <w:position w:val="0"/>
          <w:sz w:val="32"/>
          <w:szCs w:val="32"/>
        </w:rPr>
        <w:tab/>
      </w:r>
      <w:r>
        <w:rPr>
          <w:rFonts w:hint="default" w:ascii="Times New Roman" w:hAnsi="Times New Roman" w:eastAsia="仿宋_GB2312" w:cs="Times New Roman"/>
          <w:color w:val="000000"/>
          <w:spacing w:val="0"/>
          <w:w w:val="100"/>
          <w:position w:val="0"/>
          <w:sz w:val="32"/>
          <w:szCs w:val="32"/>
        </w:rPr>
        <w:t>缴交竞买保证金</w:t>
      </w:r>
      <w:r>
        <w:rPr>
          <w:rFonts w:hint="eastAsia" w:ascii="Times New Roman" w:hAnsi="Times New Roman" w:eastAsia="仿宋_GB2312" w:cs="Times New Roman"/>
          <w:color w:val="000000"/>
          <w:spacing w:val="0"/>
          <w:w w:val="100"/>
          <w:position w:val="0"/>
          <w:sz w:val="32"/>
          <w:szCs w:val="32"/>
          <w:lang w:val="en-US" w:eastAsia="zh-CN"/>
        </w:rPr>
        <w:t>873</w:t>
      </w:r>
      <w:r>
        <w:rPr>
          <w:rFonts w:hint="default" w:ascii="Times New Roman" w:hAnsi="Times New Roman" w:eastAsia="仿宋_GB2312" w:cs="Times New Roman"/>
          <w:color w:val="000000"/>
          <w:spacing w:val="0"/>
          <w:w w:val="100"/>
          <w:position w:val="0"/>
          <w:sz w:val="32"/>
          <w:szCs w:val="32"/>
        </w:rPr>
        <w:t>万元人民币；</w:t>
      </w:r>
    </w:p>
    <w:p>
      <w:pPr>
        <w:pStyle w:val="14"/>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5" w:name="bookmark11"/>
      <w:r>
        <w:rPr>
          <w:rFonts w:hint="default" w:ascii="Times New Roman" w:hAnsi="Times New Roman" w:eastAsia="仿宋_GB2312" w:cs="Times New Roman"/>
          <w:color w:val="000000"/>
          <w:spacing w:val="0"/>
          <w:w w:val="100"/>
          <w:position w:val="0"/>
          <w:sz w:val="32"/>
          <w:szCs w:val="32"/>
        </w:rPr>
        <w:t>（</w:t>
      </w:r>
      <w:bookmarkEnd w:id="5"/>
      <w:r>
        <w:rPr>
          <w:rFonts w:hint="default" w:ascii="Times New Roman" w:hAnsi="Times New Roman" w:eastAsia="仿宋_GB2312" w:cs="Times New Roman"/>
          <w:color w:val="000000"/>
          <w:spacing w:val="0"/>
          <w:w w:val="100"/>
          <w:position w:val="0"/>
          <w:sz w:val="32"/>
          <w:szCs w:val="32"/>
        </w:rPr>
        <w:t>二）拖欠地价款、闲置土地、囤地炒地、有违法或不良信用记录的企业及其控股股东不得参与竞买。</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6" w:name="bookmark12"/>
      <w:r>
        <w:rPr>
          <w:rFonts w:hint="default" w:ascii="黑体" w:hAnsi="黑体" w:eastAsia="黑体" w:cs="黑体"/>
          <w:color w:val="000000"/>
          <w:spacing w:val="0"/>
          <w:w w:val="100"/>
          <w:position w:val="0"/>
          <w:sz w:val="32"/>
          <w:szCs w:val="32"/>
        </w:rPr>
        <w:t>五</w:t>
      </w:r>
      <w:bookmarkEnd w:id="6"/>
      <w:r>
        <w:rPr>
          <w:rFonts w:hint="default" w:ascii="黑体" w:hAnsi="黑体" w:eastAsia="黑体" w:cs="黑体"/>
          <w:color w:val="000000"/>
          <w:spacing w:val="0"/>
          <w:w w:val="100"/>
          <w:position w:val="0"/>
          <w:sz w:val="32"/>
          <w:szCs w:val="32"/>
        </w:rPr>
        <w:t>、需要说明的事项</w:t>
      </w:r>
    </w:p>
    <w:p>
      <w:pPr>
        <w:pStyle w:val="9"/>
        <w:keepNext w:val="0"/>
        <w:keepLines w:val="0"/>
        <w:pageBreakBefore w:val="0"/>
        <w:widowControl w:val="0"/>
        <w:shd w:val="clear" w:color="auto" w:fill="FFFFFF"/>
        <w:kinsoku/>
        <w:wordWrap/>
        <w:overflowPunct/>
        <w:topLinePunct w:val="0"/>
        <w:autoSpaceDE/>
        <w:autoSpaceDN/>
        <w:bidi w:val="0"/>
        <w:spacing w:line="560" w:lineRule="exact"/>
        <w:ind w:firstLine="640"/>
        <w:jc w:val="both"/>
        <w:textAlignment w:val="auto"/>
        <w:rPr>
          <w:rFonts w:hint="eastAsia" w:ascii="Times New Roman" w:hAnsi="Times New Roman" w:eastAsia="仿宋_GB2312" w:cs="Times New Roman"/>
          <w:lang w:eastAsia="zh-CN"/>
        </w:rPr>
      </w:pPr>
      <w:bookmarkStart w:id="7" w:name="bookmark13"/>
      <w:r>
        <w:rPr>
          <w:rFonts w:hint="default" w:ascii="Times New Roman" w:hAnsi="Times New Roman" w:cs="Times New Roman"/>
        </w:rPr>
        <w:t>（</w:t>
      </w:r>
      <w:r>
        <w:rPr>
          <w:rFonts w:hint="default" w:ascii="Times New Roman" w:hAnsi="Times New Roman" w:cs="Times New Roman"/>
          <w:lang w:val="en-US" w:eastAsia="zh-CN"/>
        </w:rPr>
        <w:t>一</w:t>
      </w:r>
      <w:r>
        <w:rPr>
          <w:rFonts w:hint="default" w:ascii="Times New Roman" w:hAnsi="Times New Roman" w:cs="Times New Roman"/>
        </w:rPr>
        <w:t>）该宗地产权清晰、征地有关安置补偿已落实到位、不存在任何纠纷，地块周边基础设施已基本配套，具备动工建设所必需的条件</w:t>
      </w:r>
      <w:r>
        <w:rPr>
          <w:rFonts w:hint="eastAsia" w:ascii="Times New Roman" w:hAnsi="Times New Roman" w:cs="Times New Roman"/>
          <w:lang w:eastAsia="zh-CN"/>
        </w:rPr>
        <w:t>；</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bookmarkEnd w:id="7"/>
      <w:r>
        <w:rPr>
          <w:rFonts w:hint="eastAsia" w:ascii="Times New Roman" w:hAnsi="Times New Roman" w:eastAsia="仿宋_GB2312" w:cs="Times New Roman"/>
          <w:color w:val="000000"/>
          <w:spacing w:val="0"/>
          <w:w w:val="100"/>
          <w:position w:val="0"/>
          <w:sz w:val="32"/>
          <w:szCs w:val="32"/>
          <w:lang w:val="en-US" w:eastAsia="zh-CN"/>
        </w:rPr>
        <w:t>二</w:t>
      </w:r>
      <w:r>
        <w:rPr>
          <w:rFonts w:hint="default" w:ascii="Times New Roman" w:hAnsi="Times New Roman" w:eastAsia="仿宋_GB2312" w:cs="Times New Roman"/>
          <w:color w:val="000000"/>
          <w:spacing w:val="0"/>
          <w:w w:val="100"/>
          <w:position w:val="0"/>
          <w:sz w:val="32"/>
          <w:szCs w:val="32"/>
        </w:rPr>
        <w:t>）竞得人除缴交成交地价款外，还需按规定缴交契税等有关税费；</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8" w:name="bookmark14"/>
      <w:r>
        <w:rPr>
          <w:rFonts w:hint="default" w:ascii="Times New Roman" w:hAnsi="Times New Roman" w:eastAsia="仿宋_GB2312" w:cs="Times New Roman"/>
          <w:color w:val="000000"/>
          <w:spacing w:val="0"/>
          <w:w w:val="100"/>
          <w:position w:val="0"/>
          <w:sz w:val="32"/>
          <w:szCs w:val="32"/>
        </w:rPr>
        <w:t>（</w:t>
      </w:r>
      <w:bookmarkEnd w:id="8"/>
      <w:r>
        <w:rPr>
          <w:rFonts w:hint="eastAsia" w:ascii="Times New Roman" w:hAnsi="Times New Roman" w:eastAsia="仿宋_GB2312" w:cs="Times New Roman"/>
          <w:color w:val="000000"/>
          <w:spacing w:val="0"/>
          <w:w w:val="100"/>
          <w:position w:val="0"/>
          <w:sz w:val="32"/>
          <w:szCs w:val="32"/>
          <w:lang w:val="en-US" w:eastAsia="zh-CN"/>
        </w:rPr>
        <w:t>三</w:t>
      </w:r>
      <w:r>
        <w:rPr>
          <w:rFonts w:hint="default" w:ascii="Times New Roman" w:hAnsi="Times New Roman" w:eastAsia="仿宋_GB2312" w:cs="Times New Roman"/>
          <w:color w:val="000000"/>
          <w:spacing w:val="0"/>
          <w:w w:val="100"/>
          <w:position w:val="0"/>
          <w:sz w:val="32"/>
          <w:szCs w:val="32"/>
        </w:rPr>
        <w:t>）非仲恺高新区注册登记的企业竞得土地使用权的，必须在竞得土地后2个月内在仲恺高新区市场监督管理部门注册成立项目开发公司，并以该公司名义办理土地出让与登记发证手续；</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9" w:name="bookmark15"/>
      <w:r>
        <w:rPr>
          <w:rFonts w:hint="default" w:ascii="Times New Roman" w:hAnsi="Times New Roman" w:eastAsia="仿宋_GB2312" w:cs="Times New Roman"/>
          <w:color w:val="000000"/>
          <w:spacing w:val="0"/>
          <w:w w:val="100"/>
          <w:position w:val="0"/>
          <w:sz w:val="32"/>
          <w:szCs w:val="32"/>
        </w:rPr>
        <w:t>（</w:t>
      </w:r>
      <w:bookmarkEnd w:id="9"/>
      <w:r>
        <w:rPr>
          <w:rFonts w:hint="eastAsia" w:ascii="Times New Roman" w:hAnsi="Times New Roman" w:eastAsia="仿宋_GB2312" w:cs="Times New Roman"/>
          <w:color w:val="000000"/>
          <w:spacing w:val="0"/>
          <w:w w:val="100"/>
          <w:position w:val="0"/>
          <w:sz w:val="32"/>
          <w:szCs w:val="32"/>
          <w:lang w:val="en-US" w:eastAsia="zh-CN"/>
        </w:rPr>
        <w:t>四</w:t>
      </w:r>
      <w:r>
        <w:rPr>
          <w:rFonts w:hint="default" w:ascii="Times New Roman" w:hAnsi="Times New Roman" w:eastAsia="仿宋_GB2312" w:cs="Times New Roman"/>
          <w:color w:val="000000"/>
          <w:spacing w:val="0"/>
          <w:w w:val="100"/>
          <w:position w:val="0"/>
          <w:sz w:val="32"/>
          <w:szCs w:val="32"/>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lang w:val="zh-CN" w:eastAsia="zh-CN"/>
        </w:rPr>
        <w:t>“《出</w:t>
      </w:r>
      <w:r>
        <w:rPr>
          <w:rFonts w:hint="default" w:ascii="Times New Roman" w:hAnsi="Times New Roman" w:eastAsia="仿宋_GB2312" w:cs="Times New Roman"/>
          <w:color w:val="000000"/>
          <w:spacing w:val="0"/>
          <w:w w:val="100"/>
          <w:position w:val="0"/>
          <w:sz w:val="32"/>
          <w:szCs w:val="32"/>
        </w:rPr>
        <w:t>让合同</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”）时，提交惠州仲恺高新技术产业开发区科技创新局出具的与该宗地产业类型一致的优先发展产业项目文件，并同步与</w:t>
      </w:r>
      <w:r>
        <w:rPr>
          <w:rFonts w:hint="default" w:ascii="Times New Roman" w:hAnsi="Times New Roman" w:eastAsia="仿宋_GB2312" w:cs="Times New Roman"/>
          <w:b w:val="0"/>
          <w:bCs/>
          <w:i w:val="0"/>
          <w:caps w:val="0"/>
          <w:color w:val="000000"/>
          <w:spacing w:val="0"/>
          <w:w w:val="100"/>
          <w:sz w:val="32"/>
          <w:szCs w:val="32"/>
          <w:lang w:val="en-US" w:eastAsia="zh-CN"/>
        </w:rPr>
        <w:t>惠州仲恺高新技术产业开发区</w:t>
      </w:r>
      <w:r>
        <w:rPr>
          <w:rFonts w:hint="eastAsia" w:ascii="Times New Roman" w:hAnsi="Times New Roman" w:eastAsia="仿宋_GB2312" w:cs="Times New Roman"/>
          <w:b w:val="0"/>
          <w:bCs/>
          <w:i w:val="0"/>
          <w:caps w:val="0"/>
          <w:color w:val="000000"/>
          <w:spacing w:val="0"/>
          <w:w w:val="100"/>
          <w:sz w:val="32"/>
          <w:szCs w:val="32"/>
          <w:lang w:val="en-US" w:eastAsia="zh-CN"/>
        </w:rPr>
        <w:t>经济发展局</w:t>
      </w:r>
      <w:r>
        <w:rPr>
          <w:rFonts w:hint="default" w:ascii="Times New Roman" w:hAnsi="Times New Roman" w:eastAsia="仿宋_GB2312" w:cs="Times New Roman"/>
          <w:color w:val="000000"/>
          <w:spacing w:val="0"/>
          <w:w w:val="100"/>
          <w:position w:val="0"/>
          <w:sz w:val="32"/>
          <w:szCs w:val="32"/>
        </w:rPr>
        <w:t>签订《仲恺高新区产业项目投资建设协议书》；</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0" w:name="bookmark16"/>
      <w:r>
        <w:rPr>
          <w:rFonts w:hint="default" w:ascii="Times New Roman" w:hAnsi="Times New Roman" w:eastAsia="仿宋_GB2312" w:cs="Times New Roman"/>
          <w:color w:val="000000"/>
          <w:spacing w:val="0"/>
          <w:w w:val="100"/>
          <w:position w:val="0"/>
          <w:sz w:val="32"/>
          <w:szCs w:val="32"/>
        </w:rPr>
        <w:t>（</w:t>
      </w:r>
      <w:bookmarkEnd w:id="10"/>
      <w:r>
        <w:rPr>
          <w:rFonts w:hint="eastAsia" w:ascii="Times New Roman" w:hAnsi="Times New Roman" w:eastAsia="仿宋_GB2312" w:cs="Times New Roman"/>
          <w:color w:val="000000"/>
          <w:spacing w:val="0"/>
          <w:w w:val="100"/>
          <w:position w:val="0"/>
          <w:sz w:val="32"/>
          <w:szCs w:val="32"/>
          <w:lang w:val="en-US" w:eastAsia="zh-CN"/>
        </w:rPr>
        <w:t>五</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由</w:t>
      </w:r>
      <w:r>
        <w:rPr>
          <w:rFonts w:hint="default" w:ascii="Times New Roman" w:hAnsi="Times New Roman" w:eastAsia="仿宋_GB2312" w:cs="Times New Roman"/>
          <w:b w:val="0"/>
          <w:bCs/>
          <w:i w:val="0"/>
          <w:caps w:val="0"/>
          <w:color w:val="000000"/>
          <w:spacing w:val="0"/>
          <w:w w:val="100"/>
          <w:sz w:val="32"/>
          <w:szCs w:val="32"/>
          <w:lang w:val="en-US" w:eastAsia="zh-CN"/>
        </w:rPr>
        <w:t>惠州仲恺高新技术产业开发区</w:t>
      </w:r>
      <w:r>
        <w:rPr>
          <w:rFonts w:hint="eastAsia" w:ascii="Times New Roman" w:hAnsi="Times New Roman" w:eastAsia="仿宋_GB2312" w:cs="Times New Roman"/>
          <w:b w:val="0"/>
          <w:bCs/>
          <w:i w:val="0"/>
          <w:caps w:val="0"/>
          <w:color w:val="000000"/>
          <w:spacing w:val="0"/>
          <w:w w:val="100"/>
          <w:sz w:val="32"/>
          <w:szCs w:val="32"/>
          <w:lang w:val="en-US" w:eastAsia="zh-CN"/>
        </w:rPr>
        <w:t>经济发展局</w:t>
      </w:r>
      <w:r>
        <w:rPr>
          <w:rFonts w:hint="default" w:ascii="Times New Roman" w:hAnsi="Times New Roman" w:eastAsia="仿宋_GB2312" w:cs="Times New Roman"/>
          <w:color w:val="000000"/>
          <w:spacing w:val="0"/>
          <w:w w:val="100"/>
          <w:position w:val="0"/>
          <w:sz w:val="32"/>
          <w:szCs w:val="32"/>
        </w:rPr>
        <w:t>负责对竞得人履行《仲恺高新区产业项目投资建设协议书》的后续监管职责。</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1" w:name="bookmark17"/>
      <w:r>
        <w:rPr>
          <w:rFonts w:hint="default" w:ascii="黑体" w:hAnsi="黑体" w:eastAsia="黑体" w:cs="黑体"/>
          <w:color w:val="000000"/>
          <w:spacing w:val="0"/>
          <w:w w:val="100"/>
          <w:position w:val="0"/>
          <w:sz w:val="32"/>
          <w:szCs w:val="32"/>
        </w:rPr>
        <w:t>六</w:t>
      </w:r>
      <w:bookmarkEnd w:id="11"/>
      <w:r>
        <w:rPr>
          <w:rFonts w:hint="default" w:ascii="黑体" w:hAnsi="黑体" w:eastAsia="黑体" w:cs="黑体"/>
          <w:color w:val="000000"/>
          <w:spacing w:val="0"/>
          <w:w w:val="100"/>
          <w:position w:val="0"/>
          <w:sz w:val="32"/>
          <w:szCs w:val="32"/>
        </w:rPr>
        <w:t>、竞买保证金</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2" w:name="bookmark18"/>
      <w:r>
        <w:rPr>
          <w:rFonts w:hint="default" w:ascii="Times New Roman" w:hAnsi="Times New Roman" w:eastAsia="仿宋_GB2312" w:cs="Times New Roman"/>
          <w:color w:val="000000"/>
          <w:spacing w:val="0"/>
          <w:w w:val="100"/>
          <w:position w:val="0"/>
          <w:sz w:val="32"/>
          <w:szCs w:val="32"/>
        </w:rPr>
        <w:t>（</w:t>
      </w:r>
      <w:bookmarkEnd w:id="12"/>
      <w:r>
        <w:rPr>
          <w:rFonts w:hint="default" w:ascii="Times New Roman" w:hAnsi="Times New Roman" w:eastAsia="仿宋_GB2312" w:cs="Times New Roman"/>
          <w:color w:val="000000"/>
          <w:spacing w:val="0"/>
          <w:w w:val="100"/>
          <w:position w:val="0"/>
          <w:sz w:val="32"/>
          <w:szCs w:val="32"/>
        </w:rPr>
        <w:t>一）该宗地竞买保证金为人民币</w:t>
      </w:r>
      <w:r>
        <w:rPr>
          <w:rFonts w:hint="eastAsia" w:ascii="Times New Roman" w:hAnsi="Times New Roman" w:eastAsia="仿宋_GB2312" w:cs="Times New Roman"/>
          <w:color w:val="000000"/>
          <w:spacing w:val="0"/>
          <w:w w:val="100"/>
          <w:position w:val="0"/>
          <w:sz w:val="32"/>
          <w:szCs w:val="32"/>
          <w:lang w:val="en-US" w:eastAsia="zh-CN"/>
        </w:rPr>
        <w:t>873</w:t>
      </w:r>
      <w:bookmarkStart w:id="34" w:name="_GoBack"/>
      <w:bookmarkEnd w:id="34"/>
      <w:r>
        <w:rPr>
          <w:rFonts w:hint="default" w:ascii="Times New Roman" w:hAnsi="Times New Roman" w:eastAsia="仿宋_GB2312" w:cs="Times New Roman"/>
          <w:color w:val="000000"/>
          <w:spacing w:val="0"/>
          <w:w w:val="100"/>
          <w:position w:val="0"/>
          <w:sz w:val="32"/>
          <w:szCs w:val="32"/>
        </w:rPr>
        <w:t>万元。</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3" w:name="bookmark19"/>
      <w:r>
        <w:rPr>
          <w:rFonts w:hint="default" w:ascii="Times New Roman" w:hAnsi="Times New Roman" w:eastAsia="仿宋_GB2312" w:cs="Times New Roman"/>
          <w:color w:val="000000"/>
          <w:spacing w:val="0"/>
          <w:w w:val="100"/>
          <w:position w:val="0"/>
          <w:sz w:val="32"/>
          <w:szCs w:val="32"/>
        </w:rPr>
        <w:t>（</w:t>
      </w:r>
      <w:bookmarkEnd w:id="13"/>
      <w:r>
        <w:rPr>
          <w:rFonts w:hint="default" w:ascii="Times New Roman" w:hAnsi="Times New Roman" w:eastAsia="仿宋_GB2312" w:cs="Times New Roman"/>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rPr>
        <w:t>）获取竞买保证金支付账号。</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4" w:name="bookmark20"/>
      <w:r>
        <w:rPr>
          <w:rFonts w:hint="default" w:ascii="Times New Roman" w:hAnsi="Times New Roman" w:eastAsia="仿宋_GB2312" w:cs="Times New Roman"/>
          <w:color w:val="000000"/>
          <w:spacing w:val="0"/>
          <w:w w:val="100"/>
          <w:position w:val="0"/>
          <w:sz w:val="32"/>
          <w:szCs w:val="32"/>
        </w:rPr>
        <w:t>（</w:t>
      </w:r>
      <w:bookmarkEnd w:id="14"/>
      <w:r>
        <w:rPr>
          <w:rFonts w:hint="default" w:ascii="Times New Roman" w:hAnsi="Times New Roman" w:eastAsia="仿宋_GB2312" w:cs="Times New Roman"/>
          <w:color w:val="000000"/>
          <w:spacing w:val="0"/>
          <w:w w:val="100"/>
          <w:position w:val="0"/>
          <w:sz w:val="32"/>
          <w:szCs w:val="32"/>
        </w:rPr>
        <w:t>三）竞买保证金到账时间以网上挂牌交易系统确认并发出 《保证金到账通知书》为准。</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5" w:name="bookmark21"/>
      <w:r>
        <w:rPr>
          <w:rFonts w:hint="default" w:ascii="黑体" w:hAnsi="黑体" w:eastAsia="黑体" w:cs="黑体"/>
          <w:color w:val="000000"/>
          <w:spacing w:val="0"/>
          <w:w w:val="100"/>
          <w:position w:val="0"/>
          <w:sz w:val="32"/>
          <w:szCs w:val="32"/>
        </w:rPr>
        <w:t>七</w:t>
      </w:r>
      <w:bookmarkEnd w:id="15"/>
      <w:r>
        <w:rPr>
          <w:rFonts w:hint="default" w:ascii="黑体" w:hAnsi="黑体" w:eastAsia="黑体" w:cs="黑体"/>
          <w:color w:val="000000"/>
          <w:spacing w:val="0"/>
          <w:w w:val="100"/>
          <w:position w:val="0"/>
          <w:sz w:val="32"/>
          <w:szCs w:val="32"/>
        </w:rPr>
        <w:t>、竞买申请</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6" w:name="bookmark22"/>
      <w:r>
        <w:rPr>
          <w:rFonts w:hint="default" w:ascii="黑体" w:hAnsi="黑体" w:eastAsia="黑体" w:cs="黑体"/>
          <w:color w:val="000000"/>
          <w:spacing w:val="0"/>
          <w:w w:val="100"/>
          <w:position w:val="0"/>
          <w:sz w:val="32"/>
          <w:szCs w:val="32"/>
        </w:rPr>
        <w:t>八</w:t>
      </w:r>
      <w:bookmarkEnd w:id="16"/>
      <w:r>
        <w:rPr>
          <w:rFonts w:hint="default" w:ascii="黑体" w:hAnsi="黑体" w:eastAsia="黑体" w:cs="黑体"/>
          <w:color w:val="000000"/>
          <w:spacing w:val="0"/>
          <w:w w:val="100"/>
          <w:position w:val="0"/>
          <w:sz w:val="32"/>
          <w:szCs w:val="32"/>
        </w:rPr>
        <w:t>、竞买人电子报价及电子限时竞价</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7" w:name="bookmark23"/>
      <w:r>
        <w:rPr>
          <w:rFonts w:hint="default" w:ascii="黑体" w:hAnsi="黑体" w:eastAsia="黑体" w:cs="黑体"/>
          <w:color w:val="000000"/>
          <w:spacing w:val="0"/>
          <w:w w:val="100"/>
          <w:position w:val="0"/>
          <w:sz w:val="32"/>
          <w:szCs w:val="32"/>
        </w:rPr>
        <w:t>九</w:t>
      </w:r>
      <w:bookmarkEnd w:id="17"/>
      <w:r>
        <w:rPr>
          <w:rFonts w:hint="default" w:ascii="黑体" w:hAnsi="黑体" w:eastAsia="黑体" w:cs="黑体"/>
          <w:color w:val="000000"/>
          <w:spacing w:val="0"/>
          <w:w w:val="100"/>
          <w:position w:val="0"/>
          <w:sz w:val="32"/>
          <w:szCs w:val="32"/>
        </w:rPr>
        <w:t>、确定成交候选人</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十、资格审查</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成交候选人应在网上挂牌交易系统确定成交候选人之日起5个工作日内将竞买申请纸质材料提交至我局，由我局对竞买资格进行审查。我局将于202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w:t>
      </w:r>
      <w:r>
        <w:rPr>
          <w:rFonts w:hint="eastAsia" w:ascii="Times New Roman" w:hAnsi="Times New Roman" w:eastAsia="仿宋_GB2312" w:cs="Times New Roman"/>
          <w:color w:val="000000"/>
          <w:spacing w:val="0"/>
          <w:w w:val="100"/>
          <w:position w:val="0"/>
          <w:sz w:val="32"/>
          <w:szCs w:val="32"/>
          <w:lang w:val="en-US" w:eastAsia="zh-CN"/>
        </w:rPr>
        <w:t>4</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日前确定符合竞买资格的成交候选人为竞得人。</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8" w:name="bookmark24"/>
      <w:r>
        <w:rPr>
          <w:rFonts w:hint="default" w:ascii="Times New Roman" w:hAnsi="Times New Roman" w:eastAsia="仿宋_GB2312" w:cs="Times New Roman"/>
          <w:color w:val="000000"/>
          <w:spacing w:val="0"/>
          <w:w w:val="100"/>
          <w:position w:val="0"/>
          <w:sz w:val="32"/>
          <w:szCs w:val="32"/>
        </w:rPr>
        <w:t>（</w:t>
      </w:r>
      <w:bookmarkEnd w:id="18"/>
      <w:r>
        <w:rPr>
          <w:rFonts w:hint="default" w:ascii="Times New Roman" w:hAnsi="Times New Roman" w:eastAsia="仿宋_GB2312" w:cs="Times New Roman"/>
          <w:color w:val="000000"/>
          <w:spacing w:val="0"/>
          <w:w w:val="100"/>
          <w:position w:val="0"/>
          <w:sz w:val="32"/>
          <w:szCs w:val="32"/>
        </w:rPr>
        <w:t>一）《竞买申请书》（加盖公章）；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9" w:name="bookmark25"/>
      <w:r>
        <w:rPr>
          <w:rFonts w:hint="default" w:ascii="Times New Roman" w:hAnsi="Times New Roman" w:eastAsia="仿宋_GB2312" w:cs="Times New Roman"/>
          <w:color w:val="000000"/>
          <w:spacing w:val="0"/>
          <w:w w:val="100"/>
          <w:position w:val="0"/>
          <w:sz w:val="32"/>
          <w:szCs w:val="32"/>
        </w:rPr>
        <w:t>（</w:t>
      </w:r>
      <w:bookmarkEnd w:id="19"/>
      <w:r>
        <w:rPr>
          <w:rFonts w:hint="default" w:ascii="Times New Roman" w:hAnsi="Times New Roman" w:eastAsia="仿宋_GB2312" w:cs="Times New Roman"/>
          <w:color w:val="000000"/>
          <w:spacing w:val="0"/>
          <w:w w:val="100"/>
          <w:position w:val="0"/>
          <w:sz w:val="32"/>
          <w:szCs w:val="32"/>
        </w:rPr>
        <w:t>二）《竞价结果通知书》（加盖公章）；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0" w:name="bookmark26"/>
      <w:r>
        <w:rPr>
          <w:rFonts w:hint="default" w:ascii="Times New Roman" w:hAnsi="Times New Roman" w:eastAsia="仿宋_GB2312" w:cs="Times New Roman"/>
          <w:color w:val="000000"/>
          <w:spacing w:val="0"/>
          <w:w w:val="100"/>
          <w:position w:val="0"/>
          <w:sz w:val="32"/>
          <w:szCs w:val="32"/>
        </w:rPr>
        <w:t>（</w:t>
      </w:r>
      <w:bookmarkEnd w:id="20"/>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27"/>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28"/>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3" w:name="bookmark29"/>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24" w:name="bookmark30"/>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r>
        <w:rPr>
          <w:rFonts w:hint="eastAsia" w:ascii="Times New Roman" w:hAnsi="Times New Roman" w:eastAsia="仿宋_GB2312" w:cs="Times New Roman"/>
          <w:color w:val="000000"/>
          <w:spacing w:val="0"/>
          <w:w w:val="100"/>
          <w:position w:val="0"/>
          <w:sz w:val="32"/>
          <w:szCs w:val="32"/>
          <w:lang w:eastAsia="zh-CN"/>
        </w:rPr>
        <w:t>；</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eastAsia" w:ascii="Times New Roman" w:hAnsi="Times New Roman" w:eastAsia="仿宋_GB2312" w:cs="Times New Roman"/>
          <w:color w:val="000000"/>
          <w:spacing w:val="0"/>
          <w:w w:val="100"/>
          <w:position w:val="0"/>
          <w:sz w:val="32"/>
          <w:szCs w:val="32"/>
          <w:lang w:eastAsia="zh-CN"/>
        </w:rPr>
        <w:t>（</w:t>
      </w:r>
      <w:r>
        <w:rPr>
          <w:rFonts w:hint="eastAsia" w:ascii="Times New Roman" w:hAnsi="Times New Roman" w:eastAsia="仿宋_GB2312" w:cs="Times New Roman"/>
          <w:color w:val="000000"/>
          <w:spacing w:val="0"/>
          <w:w w:val="100"/>
          <w:position w:val="0"/>
          <w:sz w:val="32"/>
          <w:szCs w:val="32"/>
          <w:lang w:val="en-US" w:eastAsia="zh-CN"/>
        </w:rPr>
        <w:t>八</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惠州仲恺高新技术产业开发区科技创新局出具的与本公告宗地要求对应产业类型一致的优先发展产业项目文件复印件（核对原件）。</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十一、签订成交确认书、出让合同及支付土地出让金</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十二、竞买保证金退还或转付成交价款</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十三、违规责任</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31"/>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一）不符合竞买资格条件的；</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6" w:name="bookmark32"/>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7" w:name="bookmark33"/>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28" w:name="bookmark34"/>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eastAsia" w:ascii="Times New Roman" w:hAnsi="Times New Roman" w:eastAsia="仿宋_GB2312" w:cs="Times New Roman"/>
          <w:color w:val="000000"/>
          <w:spacing w:val="0"/>
          <w:w w:val="100"/>
          <w:position w:val="0"/>
          <w:sz w:val="32"/>
          <w:szCs w:val="32"/>
          <w:lang w:eastAsia="zh-CN"/>
        </w:rPr>
        <w:t>。</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十四、其他需要公告的事项</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5"/>
      <w:r>
        <w:rPr>
          <w:rFonts w:hint="default" w:ascii="Times New Roman" w:hAnsi="Times New Roman" w:eastAsia="仿宋_GB2312" w:cs="Times New Roman"/>
          <w:color w:val="000000"/>
          <w:spacing w:val="0"/>
          <w:w w:val="100"/>
          <w:position w:val="0"/>
          <w:sz w:val="32"/>
          <w:szCs w:val="32"/>
        </w:rPr>
        <w:t>（</w:t>
      </w:r>
      <w:bookmarkEnd w:id="29"/>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36"/>
      <w:r>
        <w:rPr>
          <w:rFonts w:hint="default" w:ascii="Times New Roman" w:hAnsi="Times New Roman" w:eastAsia="仿宋_GB2312" w:cs="Times New Roman"/>
          <w:color w:val="000000"/>
          <w:spacing w:val="0"/>
          <w:w w:val="100"/>
          <w:position w:val="0"/>
          <w:sz w:val="32"/>
          <w:szCs w:val="32"/>
          <w:lang w:val="zh-CN" w:eastAsia="zh-CN"/>
        </w:rPr>
        <w:t>（</w:t>
      </w:r>
      <w:bookmarkEnd w:id="30"/>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1" w:name="bookmark37"/>
      <w:r>
        <w:rPr>
          <w:rFonts w:hint="default" w:ascii="Times New Roman" w:hAnsi="Times New Roman" w:eastAsia="仿宋_GB2312" w:cs="Times New Roman"/>
          <w:color w:val="000000"/>
          <w:spacing w:val="0"/>
          <w:w w:val="100"/>
          <w:position w:val="0"/>
          <w:sz w:val="32"/>
          <w:szCs w:val="32"/>
        </w:rPr>
        <w:t>（</w:t>
      </w:r>
      <w:bookmarkEnd w:id="31"/>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2" w:name="bookmark38"/>
      <w:r>
        <w:rPr>
          <w:rFonts w:hint="default" w:ascii="Times New Roman" w:hAnsi="Times New Roman" w:eastAsia="仿宋_GB2312" w:cs="Times New Roman"/>
          <w:color w:val="000000"/>
          <w:spacing w:val="0"/>
          <w:w w:val="100"/>
          <w:position w:val="0"/>
          <w:sz w:val="32"/>
          <w:szCs w:val="32"/>
        </w:rPr>
        <w:t>（</w:t>
      </w:r>
      <w:bookmarkEnd w:id="32"/>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3" w:name="bookmark39"/>
      <w:r>
        <w:rPr>
          <w:rFonts w:hint="default" w:ascii="Times New Roman" w:hAnsi="Times New Roman" w:eastAsia="仿宋_GB2312" w:cs="Times New Roman"/>
          <w:color w:val="000000"/>
          <w:spacing w:val="0"/>
          <w:w w:val="100"/>
          <w:position w:val="0"/>
          <w:sz w:val="32"/>
          <w:szCs w:val="32"/>
        </w:rPr>
        <w:t>（</w:t>
      </w:r>
      <w:bookmarkEnd w:id="33"/>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十五</w:t>
      </w:r>
      <w:r>
        <w:rPr>
          <w:rFonts w:hint="default" w:ascii="黑体" w:hAnsi="黑体" w:eastAsia="黑体" w:cs="黑体"/>
          <w:color w:val="000000"/>
          <w:spacing w:val="0"/>
          <w:w w:val="100"/>
          <w:position w:val="0"/>
          <w:sz w:val="32"/>
          <w:szCs w:val="32"/>
        </w:rPr>
        <w:t>、联系方式</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w:t>
      </w:r>
      <w:r>
        <w:rPr>
          <w:rFonts w:hint="eastAsia" w:ascii="Times New Roman" w:hAnsi="Times New Roman" w:eastAsia="仿宋_GB2312" w:cs="Times New Roman"/>
          <w:color w:val="000000"/>
          <w:spacing w:val="0"/>
          <w:w w:val="100"/>
          <w:position w:val="0"/>
          <w:sz w:val="32"/>
          <w:szCs w:val="32"/>
          <w:lang w:val="en-US" w:eastAsia="zh-CN"/>
        </w:rPr>
        <w:t>胡女士</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eastAsia" w:ascii="Times New Roman" w:hAnsi="Times New Roman" w:eastAsia="仿宋_GB2312" w:cs="Times New Roman"/>
          <w:color w:val="000000"/>
          <w:spacing w:val="0"/>
          <w:w w:val="100"/>
          <w:position w:val="0"/>
          <w:sz w:val="32"/>
          <w:szCs w:val="32"/>
          <w:lang w:val="en-US" w:eastAsia="zh-CN"/>
        </w:rPr>
        <w:t>01</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联系人：汪鑫</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eastAsia" w:ascii="Times New Roman" w:hAnsi="Times New Roman" w:eastAsia="仿宋_GB2312" w:cs="Times New Roman"/>
          <w:color w:val="000000"/>
          <w:spacing w:val="0"/>
          <w:w w:val="100"/>
          <w:position w:val="0"/>
          <w:sz w:val="32"/>
          <w:szCs w:val="32"/>
          <w:lang w:val="en-US" w:eastAsia="zh-CN"/>
        </w:rPr>
        <w:t>房曦</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zh-TW" w:eastAsia="zh-TW"/>
        </w:rPr>
      </w:pPr>
      <w:r>
        <w:rPr>
          <w:rFonts w:hint="default" w:ascii="Times New Roman" w:hAnsi="Times New Roman" w:eastAsia="仿宋_GB2312" w:cs="Times New Roman"/>
          <w:color w:val="000000"/>
          <w:spacing w:val="0"/>
          <w:w w:val="100"/>
          <w:position w:val="0"/>
          <w:sz w:val="32"/>
          <w:szCs w:val="32"/>
          <w:lang w:val="zh-TW" w:eastAsia="zh-TW"/>
        </w:rPr>
        <w:t>广东省公共资源交易平台： https://ygp.gdzwfw.gov.cn/</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eastAsia"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r>
        <w:rPr>
          <w:rFonts w:hint="eastAsia" w:ascii="Times New Roman" w:hAnsi="Times New Roman" w:eastAsia="仿宋_GB2312" w:cs="Times New Roman"/>
          <w:b w:val="0"/>
          <w:bCs w:val="0"/>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21</w:t>
      </w:r>
      <w:r>
        <w:rPr>
          <w:rFonts w:hint="default" w:ascii="Times New Roman" w:hAnsi="Times New Roman" w:eastAsia="仿宋_GB2312" w:cs="Times New Roman"/>
          <w:b w:val="0"/>
          <w:bCs w:val="0"/>
          <w:color w:val="auto"/>
          <w:sz w:val="32"/>
          <w:szCs w:val="32"/>
          <w:highlight w:val="none"/>
          <w:u w:val="none"/>
          <w:lang w:val="en-US" w:eastAsia="zh-CN"/>
        </w:rPr>
        <w:t>日</w:t>
      </w:r>
      <w:r>
        <w:rPr>
          <w:rFonts w:hint="eastAsia" w:ascii="Times New Roman" w:hAnsi="Times New Roman" w:eastAsia="仿宋_GB2312" w:cs="Times New Roman"/>
          <w:b w:val="0"/>
          <w:bCs w:val="0"/>
          <w:color w:val="auto"/>
          <w:sz w:val="32"/>
          <w:szCs w:val="32"/>
          <w:highlight w:val="none"/>
          <w:u w:val="none"/>
          <w:lang w:val="en-US" w:eastAsia="zh-CN"/>
        </w:rPr>
        <w:t xml:space="preserve">       </w:t>
      </w:r>
    </w:p>
    <w:p>
      <w:pPr>
        <w:pStyle w:val="2"/>
        <w:wordWrap/>
        <w:rPr>
          <w:rFonts w:hint="eastAsia" w:ascii="Times New Roman" w:hAnsi="Times New Roman" w:eastAsia="仿宋_GB2312" w:cs="Times New Roman"/>
          <w:b w:val="0"/>
          <w:bCs w:val="0"/>
          <w:color w:val="auto"/>
          <w:sz w:val="32"/>
          <w:szCs w:val="32"/>
          <w:highlight w:val="none"/>
          <w:u w:val="none"/>
          <w:lang w:val="en-US" w:eastAsia="zh-CN"/>
        </w:rPr>
      </w:pPr>
    </w:p>
    <w:p>
      <w:pPr>
        <w:pStyle w:val="2"/>
        <w:wordWrap/>
        <w:rPr>
          <w:rFonts w:hint="eastAsia"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pStyle w:val="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b w:val="0"/>
          <w:bCs w:val="0"/>
          <w:color w:val="auto"/>
          <w:sz w:val="32"/>
          <w:szCs w:val="32"/>
          <w:highlight w:val="none"/>
        </w:rPr>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tbl>
      <w:tblPr>
        <w:tblStyle w:val="6"/>
        <w:tblpPr w:leftFromText="180" w:rightFromText="180" w:vertAnchor="text" w:horzAnchor="page" w:tblpXSpec="center" w:tblpY="137"/>
        <w:tblOverlap w:val="never"/>
        <w:tblW w:w="15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09"/>
        <w:gridCol w:w="661"/>
        <w:gridCol w:w="640"/>
        <w:gridCol w:w="487"/>
        <w:gridCol w:w="695"/>
        <w:gridCol w:w="755"/>
        <w:gridCol w:w="1000"/>
        <w:gridCol w:w="559"/>
        <w:gridCol w:w="747"/>
        <w:gridCol w:w="854"/>
        <w:gridCol w:w="714"/>
        <w:gridCol w:w="714"/>
        <w:gridCol w:w="743"/>
        <w:gridCol w:w="670"/>
        <w:gridCol w:w="772"/>
        <w:gridCol w:w="773"/>
        <w:gridCol w:w="1230"/>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7" w:type="dxa"/>
            <w:vMerge w:val="restart"/>
            <w:vAlign w:val="center"/>
          </w:tcPr>
          <w:p>
            <w:pPr>
              <w:pStyle w:val="12"/>
              <w:spacing w:line="0" w:lineRule="atLeast"/>
              <w:jc w:val="center"/>
              <w:rPr>
                <w:sz w:val="18"/>
                <w:szCs w:val="18"/>
              </w:rPr>
            </w:pPr>
            <w:r>
              <w:rPr>
                <w:sz w:val="18"/>
                <w:szCs w:val="18"/>
              </w:rPr>
              <w:t>地块挂牌编号</w:t>
            </w:r>
          </w:p>
        </w:tc>
        <w:tc>
          <w:tcPr>
            <w:tcW w:w="709" w:type="dxa"/>
            <w:vMerge w:val="restart"/>
            <w:vAlign w:val="center"/>
          </w:tcPr>
          <w:p>
            <w:pPr>
              <w:pStyle w:val="12"/>
              <w:spacing w:line="0" w:lineRule="atLeast"/>
              <w:jc w:val="center"/>
              <w:rPr>
                <w:sz w:val="18"/>
                <w:szCs w:val="18"/>
              </w:rPr>
            </w:pPr>
            <w:r>
              <w:rPr>
                <w:sz w:val="18"/>
                <w:szCs w:val="18"/>
              </w:rPr>
              <w:t>土地</w:t>
            </w:r>
          </w:p>
          <w:p>
            <w:pPr>
              <w:pStyle w:val="12"/>
              <w:spacing w:line="0" w:lineRule="atLeast"/>
              <w:jc w:val="center"/>
              <w:rPr>
                <w:sz w:val="18"/>
                <w:szCs w:val="18"/>
              </w:rPr>
            </w:pPr>
            <w:r>
              <w:rPr>
                <w:sz w:val="18"/>
                <w:szCs w:val="18"/>
              </w:rPr>
              <w:t>位置</w:t>
            </w:r>
          </w:p>
        </w:tc>
        <w:tc>
          <w:tcPr>
            <w:tcW w:w="661" w:type="dxa"/>
            <w:vMerge w:val="restart"/>
            <w:vAlign w:val="center"/>
          </w:tcPr>
          <w:p>
            <w:pPr>
              <w:pStyle w:val="12"/>
              <w:spacing w:line="0" w:lineRule="atLeast"/>
              <w:jc w:val="center"/>
              <w:rPr>
                <w:sz w:val="18"/>
                <w:szCs w:val="18"/>
              </w:rPr>
            </w:pPr>
            <w:r>
              <w:rPr>
                <w:sz w:val="18"/>
                <w:szCs w:val="18"/>
              </w:rPr>
              <w:t>用地</w:t>
            </w:r>
          </w:p>
          <w:p>
            <w:pPr>
              <w:pStyle w:val="12"/>
              <w:spacing w:line="0" w:lineRule="atLeast"/>
              <w:jc w:val="center"/>
              <w:rPr>
                <w:sz w:val="18"/>
                <w:szCs w:val="18"/>
              </w:rPr>
            </w:pPr>
            <w:r>
              <w:rPr>
                <w:sz w:val="18"/>
                <w:szCs w:val="18"/>
              </w:rPr>
              <w:t>编号</w:t>
            </w:r>
          </w:p>
        </w:tc>
        <w:tc>
          <w:tcPr>
            <w:tcW w:w="640" w:type="dxa"/>
            <w:vMerge w:val="restart"/>
            <w:vAlign w:val="center"/>
          </w:tcPr>
          <w:p>
            <w:pPr>
              <w:pStyle w:val="12"/>
              <w:spacing w:line="0" w:lineRule="atLeast"/>
              <w:jc w:val="center"/>
              <w:rPr>
                <w:sz w:val="18"/>
                <w:szCs w:val="18"/>
              </w:rPr>
            </w:pPr>
            <w:r>
              <w:rPr>
                <w:sz w:val="18"/>
                <w:szCs w:val="18"/>
              </w:rPr>
              <w:t>宗地总面积（㎡）</w:t>
            </w:r>
          </w:p>
        </w:tc>
        <w:tc>
          <w:tcPr>
            <w:tcW w:w="487" w:type="dxa"/>
            <w:vMerge w:val="restart"/>
            <w:vAlign w:val="center"/>
          </w:tcPr>
          <w:p>
            <w:pPr>
              <w:pStyle w:val="12"/>
              <w:spacing w:line="0" w:lineRule="atLeast"/>
              <w:jc w:val="center"/>
              <w:rPr>
                <w:sz w:val="18"/>
                <w:szCs w:val="18"/>
              </w:rPr>
            </w:pPr>
            <w:r>
              <w:rPr>
                <w:sz w:val="18"/>
                <w:szCs w:val="18"/>
              </w:rPr>
              <w:t>土地</w:t>
            </w:r>
          </w:p>
          <w:p>
            <w:pPr>
              <w:pStyle w:val="12"/>
              <w:spacing w:line="0" w:lineRule="atLeast"/>
              <w:jc w:val="center"/>
              <w:rPr>
                <w:sz w:val="18"/>
                <w:szCs w:val="18"/>
              </w:rPr>
            </w:pPr>
            <w:r>
              <w:rPr>
                <w:sz w:val="18"/>
                <w:szCs w:val="18"/>
              </w:rPr>
              <w:t>用途</w:t>
            </w:r>
          </w:p>
        </w:tc>
        <w:tc>
          <w:tcPr>
            <w:tcW w:w="4610" w:type="dxa"/>
            <w:gridSpan w:val="6"/>
            <w:vAlign w:val="center"/>
          </w:tcPr>
          <w:p>
            <w:pPr>
              <w:pStyle w:val="12"/>
              <w:spacing w:line="0" w:lineRule="atLeast"/>
              <w:jc w:val="center"/>
              <w:rPr>
                <w:sz w:val="18"/>
                <w:szCs w:val="18"/>
              </w:rPr>
            </w:pPr>
            <w:r>
              <w:rPr>
                <w:sz w:val="18"/>
                <w:szCs w:val="18"/>
              </w:rPr>
              <w:t>规划指标</w:t>
            </w:r>
          </w:p>
        </w:tc>
        <w:tc>
          <w:tcPr>
            <w:tcW w:w="714" w:type="dxa"/>
            <w:vMerge w:val="restart"/>
            <w:vAlign w:val="center"/>
          </w:tcPr>
          <w:p>
            <w:pPr>
              <w:pStyle w:val="12"/>
              <w:spacing w:line="0" w:lineRule="atLeast"/>
              <w:jc w:val="center"/>
              <w:rPr>
                <w:sz w:val="18"/>
                <w:szCs w:val="18"/>
              </w:rPr>
            </w:pPr>
            <w:r>
              <w:rPr>
                <w:sz w:val="18"/>
                <w:szCs w:val="18"/>
              </w:rPr>
              <w:t>出让</w:t>
            </w:r>
          </w:p>
          <w:p>
            <w:pPr>
              <w:pStyle w:val="12"/>
              <w:spacing w:line="0" w:lineRule="atLeast"/>
              <w:jc w:val="center"/>
              <w:rPr>
                <w:sz w:val="18"/>
                <w:szCs w:val="18"/>
              </w:rPr>
            </w:pPr>
            <w:r>
              <w:rPr>
                <w:sz w:val="18"/>
                <w:szCs w:val="18"/>
              </w:rPr>
              <w:t>年限（年）</w:t>
            </w:r>
          </w:p>
        </w:tc>
        <w:tc>
          <w:tcPr>
            <w:tcW w:w="714" w:type="dxa"/>
            <w:vMerge w:val="restart"/>
            <w:vAlign w:val="center"/>
          </w:tcPr>
          <w:p>
            <w:pPr>
              <w:pStyle w:val="12"/>
              <w:spacing w:line="0" w:lineRule="atLeast"/>
              <w:jc w:val="center"/>
              <w:rPr>
                <w:sz w:val="18"/>
                <w:szCs w:val="18"/>
              </w:rPr>
            </w:pPr>
            <w:r>
              <w:rPr>
                <w:sz w:val="18"/>
                <w:szCs w:val="18"/>
              </w:rPr>
              <w:t>挂牌</w:t>
            </w:r>
          </w:p>
          <w:p>
            <w:pPr>
              <w:pStyle w:val="12"/>
              <w:spacing w:line="0" w:lineRule="atLeast"/>
              <w:jc w:val="center"/>
              <w:rPr>
                <w:sz w:val="18"/>
                <w:szCs w:val="18"/>
              </w:rPr>
            </w:pPr>
            <w:r>
              <w:rPr>
                <w:sz w:val="18"/>
                <w:szCs w:val="18"/>
              </w:rPr>
              <w:t>起始价</w:t>
            </w:r>
          </w:p>
          <w:p>
            <w:pPr>
              <w:pStyle w:val="12"/>
              <w:spacing w:line="0" w:lineRule="atLeast"/>
              <w:jc w:val="center"/>
              <w:rPr>
                <w:sz w:val="18"/>
                <w:szCs w:val="18"/>
              </w:rPr>
            </w:pPr>
            <w:r>
              <w:rPr>
                <w:sz w:val="18"/>
                <w:szCs w:val="18"/>
              </w:rPr>
              <w:t>（万元）</w:t>
            </w:r>
          </w:p>
        </w:tc>
        <w:tc>
          <w:tcPr>
            <w:tcW w:w="743" w:type="dxa"/>
            <w:vMerge w:val="restart"/>
            <w:vAlign w:val="center"/>
          </w:tcPr>
          <w:p>
            <w:pPr>
              <w:pStyle w:val="12"/>
              <w:spacing w:line="0" w:lineRule="atLeast"/>
              <w:jc w:val="center"/>
              <w:rPr>
                <w:sz w:val="18"/>
                <w:szCs w:val="18"/>
              </w:rPr>
            </w:pPr>
            <w:r>
              <w:rPr>
                <w:sz w:val="18"/>
                <w:szCs w:val="18"/>
              </w:rPr>
              <w:t>加价</w:t>
            </w:r>
          </w:p>
          <w:p>
            <w:pPr>
              <w:pStyle w:val="12"/>
              <w:spacing w:line="0" w:lineRule="atLeast"/>
              <w:jc w:val="center"/>
              <w:rPr>
                <w:sz w:val="18"/>
                <w:szCs w:val="18"/>
              </w:rPr>
            </w:pPr>
            <w:r>
              <w:rPr>
                <w:sz w:val="18"/>
                <w:szCs w:val="18"/>
              </w:rPr>
              <w:t>幅度</w:t>
            </w:r>
          </w:p>
          <w:p>
            <w:pPr>
              <w:pStyle w:val="12"/>
              <w:spacing w:line="0" w:lineRule="atLeast"/>
              <w:jc w:val="center"/>
              <w:rPr>
                <w:sz w:val="18"/>
                <w:szCs w:val="18"/>
              </w:rPr>
            </w:pPr>
            <w:r>
              <w:rPr>
                <w:sz w:val="18"/>
                <w:szCs w:val="18"/>
              </w:rPr>
              <w:t>（万元）</w:t>
            </w:r>
          </w:p>
        </w:tc>
        <w:tc>
          <w:tcPr>
            <w:tcW w:w="670" w:type="dxa"/>
            <w:vMerge w:val="restart"/>
            <w:vAlign w:val="center"/>
          </w:tcPr>
          <w:p>
            <w:pPr>
              <w:pStyle w:val="12"/>
              <w:spacing w:line="0" w:lineRule="atLeast"/>
              <w:jc w:val="center"/>
              <w:rPr>
                <w:sz w:val="18"/>
                <w:szCs w:val="18"/>
              </w:rPr>
            </w:pPr>
            <w:r>
              <w:rPr>
                <w:sz w:val="18"/>
                <w:szCs w:val="18"/>
              </w:rPr>
              <w:t>竞买</w:t>
            </w:r>
          </w:p>
          <w:p>
            <w:pPr>
              <w:pStyle w:val="12"/>
              <w:spacing w:line="0" w:lineRule="atLeast"/>
              <w:jc w:val="center"/>
              <w:rPr>
                <w:sz w:val="18"/>
                <w:szCs w:val="18"/>
              </w:rPr>
            </w:pPr>
            <w:r>
              <w:rPr>
                <w:sz w:val="18"/>
                <w:szCs w:val="18"/>
              </w:rPr>
              <w:t>保证金</w:t>
            </w:r>
          </w:p>
          <w:p>
            <w:pPr>
              <w:pStyle w:val="12"/>
              <w:spacing w:line="0" w:lineRule="atLeast"/>
              <w:jc w:val="center"/>
              <w:rPr>
                <w:sz w:val="18"/>
                <w:szCs w:val="18"/>
              </w:rPr>
            </w:pPr>
            <w:r>
              <w:rPr>
                <w:sz w:val="18"/>
                <w:szCs w:val="18"/>
              </w:rPr>
              <w:t>（万元）</w:t>
            </w:r>
          </w:p>
        </w:tc>
        <w:tc>
          <w:tcPr>
            <w:tcW w:w="772" w:type="dxa"/>
            <w:vMerge w:val="restart"/>
            <w:vAlign w:val="center"/>
          </w:tcPr>
          <w:p>
            <w:pPr>
              <w:pStyle w:val="12"/>
              <w:spacing w:line="0" w:lineRule="atLeast"/>
              <w:jc w:val="center"/>
              <w:rPr>
                <w:sz w:val="18"/>
                <w:szCs w:val="18"/>
              </w:rPr>
            </w:pPr>
            <w:r>
              <w:rPr>
                <w:sz w:val="18"/>
                <w:szCs w:val="18"/>
              </w:rPr>
              <w:t>保证金截止时间</w:t>
            </w:r>
          </w:p>
        </w:tc>
        <w:tc>
          <w:tcPr>
            <w:tcW w:w="773" w:type="dxa"/>
            <w:vMerge w:val="restart"/>
            <w:vAlign w:val="center"/>
          </w:tcPr>
          <w:p>
            <w:pPr>
              <w:pStyle w:val="12"/>
              <w:spacing w:line="0" w:lineRule="atLeast"/>
              <w:jc w:val="center"/>
              <w:rPr>
                <w:sz w:val="18"/>
                <w:szCs w:val="18"/>
              </w:rPr>
            </w:pPr>
            <w:r>
              <w:rPr>
                <w:sz w:val="18"/>
                <w:szCs w:val="18"/>
              </w:rPr>
              <w:t>投资强度</w:t>
            </w:r>
          </w:p>
        </w:tc>
        <w:tc>
          <w:tcPr>
            <w:tcW w:w="1230" w:type="dxa"/>
            <w:vMerge w:val="restart"/>
            <w:vAlign w:val="center"/>
          </w:tcPr>
          <w:p>
            <w:pPr>
              <w:pStyle w:val="12"/>
              <w:spacing w:line="0" w:lineRule="atLeast"/>
              <w:jc w:val="center"/>
              <w:rPr>
                <w:sz w:val="18"/>
                <w:szCs w:val="18"/>
              </w:rPr>
            </w:pPr>
            <w:r>
              <w:rPr>
                <w:sz w:val="18"/>
                <w:szCs w:val="18"/>
              </w:rPr>
              <w:t>产业类型</w:t>
            </w:r>
          </w:p>
        </w:tc>
        <w:tc>
          <w:tcPr>
            <w:tcW w:w="1095" w:type="dxa"/>
            <w:vMerge w:val="restart"/>
            <w:vAlign w:val="center"/>
          </w:tcPr>
          <w:p>
            <w:pPr>
              <w:pStyle w:val="12"/>
              <w:spacing w:line="0" w:lineRule="atLeast"/>
              <w:jc w:val="center"/>
              <w:rPr>
                <w:sz w:val="18"/>
                <w:szCs w:val="18"/>
              </w:rPr>
            </w:pPr>
            <w:r>
              <w:rPr>
                <w:rFonts w:hint="eastAsia"/>
                <w:sz w:val="18"/>
                <w:szCs w:val="18"/>
              </w:rPr>
              <w:t>产业项目协议书签订部门</w:t>
            </w:r>
          </w:p>
        </w:tc>
        <w:tc>
          <w:tcPr>
            <w:tcW w:w="1095" w:type="dxa"/>
            <w:vMerge w:val="restart"/>
            <w:vAlign w:val="center"/>
          </w:tcPr>
          <w:p>
            <w:pPr>
              <w:pStyle w:val="12"/>
              <w:spacing w:line="0" w:lineRule="atLeast"/>
              <w:jc w:val="center"/>
              <w:rPr>
                <w:sz w:val="18"/>
                <w:szCs w:val="18"/>
              </w:rPr>
            </w:pPr>
            <w:r>
              <w:rPr>
                <w:rFonts w:hint="eastAsia"/>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tcPr>
          <w:p>
            <w:pPr>
              <w:pStyle w:val="12"/>
              <w:spacing w:line="0" w:lineRule="atLeast"/>
              <w:jc w:val="center"/>
              <w:rPr>
                <w:sz w:val="18"/>
                <w:szCs w:val="18"/>
              </w:rPr>
            </w:pPr>
          </w:p>
        </w:tc>
        <w:tc>
          <w:tcPr>
            <w:tcW w:w="709" w:type="dxa"/>
            <w:vMerge w:val="continue"/>
          </w:tcPr>
          <w:p>
            <w:pPr>
              <w:pStyle w:val="12"/>
              <w:spacing w:line="0" w:lineRule="atLeast"/>
              <w:jc w:val="center"/>
              <w:rPr>
                <w:sz w:val="18"/>
                <w:szCs w:val="18"/>
              </w:rPr>
            </w:pPr>
          </w:p>
        </w:tc>
        <w:tc>
          <w:tcPr>
            <w:tcW w:w="661" w:type="dxa"/>
            <w:vMerge w:val="continue"/>
          </w:tcPr>
          <w:p>
            <w:pPr>
              <w:pStyle w:val="12"/>
              <w:spacing w:line="0" w:lineRule="atLeast"/>
              <w:jc w:val="center"/>
              <w:rPr>
                <w:sz w:val="18"/>
                <w:szCs w:val="18"/>
              </w:rPr>
            </w:pPr>
          </w:p>
        </w:tc>
        <w:tc>
          <w:tcPr>
            <w:tcW w:w="640" w:type="dxa"/>
            <w:vMerge w:val="continue"/>
          </w:tcPr>
          <w:p>
            <w:pPr>
              <w:pStyle w:val="12"/>
              <w:spacing w:line="0" w:lineRule="atLeast"/>
              <w:jc w:val="center"/>
              <w:rPr>
                <w:sz w:val="18"/>
                <w:szCs w:val="18"/>
              </w:rPr>
            </w:pPr>
          </w:p>
        </w:tc>
        <w:tc>
          <w:tcPr>
            <w:tcW w:w="487" w:type="dxa"/>
            <w:vMerge w:val="continue"/>
            <w:vAlign w:val="center"/>
          </w:tcPr>
          <w:p>
            <w:pPr>
              <w:pStyle w:val="12"/>
              <w:spacing w:line="0" w:lineRule="atLeast"/>
              <w:jc w:val="center"/>
              <w:rPr>
                <w:sz w:val="18"/>
                <w:szCs w:val="18"/>
              </w:rPr>
            </w:pPr>
          </w:p>
        </w:tc>
        <w:tc>
          <w:tcPr>
            <w:tcW w:w="695" w:type="dxa"/>
            <w:vAlign w:val="center"/>
          </w:tcPr>
          <w:p>
            <w:pPr>
              <w:pStyle w:val="12"/>
              <w:spacing w:line="0" w:lineRule="atLeast"/>
              <w:jc w:val="center"/>
              <w:rPr>
                <w:sz w:val="18"/>
                <w:szCs w:val="18"/>
              </w:rPr>
            </w:pPr>
            <w:r>
              <w:rPr>
                <w:sz w:val="18"/>
                <w:szCs w:val="18"/>
              </w:rPr>
              <w:t>计算指标用地面积（㎡）</w:t>
            </w:r>
          </w:p>
        </w:tc>
        <w:tc>
          <w:tcPr>
            <w:tcW w:w="755" w:type="dxa"/>
            <w:vAlign w:val="center"/>
          </w:tcPr>
          <w:p>
            <w:pPr>
              <w:pStyle w:val="12"/>
              <w:spacing w:line="0" w:lineRule="atLeast"/>
              <w:jc w:val="center"/>
              <w:rPr>
                <w:sz w:val="18"/>
                <w:szCs w:val="18"/>
              </w:rPr>
            </w:pPr>
            <w:r>
              <w:rPr>
                <w:sz w:val="18"/>
                <w:szCs w:val="18"/>
              </w:rPr>
              <w:t>容积率R</w:t>
            </w:r>
          </w:p>
        </w:tc>
        <w:tc>
          <w:tcPr>
            <w:tcW w:w="1000" w:type="dxa"/>
            <w:vAlign w:val="center"/>
          </w:tcPr>
          <w:p>
            <w:pPr>
              <w:pStyle w:val="12"/>
              <w:spacing w:line="0" w:lineRule="atLeast"/>
              <w:jc w:val="center"/>
              <w:rPr>
                <w:sz w:val="18"/>
                <w:szCs w:val="18"/>
              </w:rPr>
            </w:pPr>
            <w:r>
              <w:rPr>
                <w:sz w:val="18"/>
                <w:szCs w:val="18"/>
              </w:rPr>
              <w:t>计容建筑面积S（㎡）</w:t>
            </w:r>
          </w:p>
        </w:tc>
        <w:tc>
          <w:tcPr>
            <w:tcW w:w="559" w:type="dxa"/>
            <w:vAlign w:val="center"/>
          </w:tcPr>
          <w:p>
            <w:pPr>
              <w:pStyle w:val="12"/>
              <w:spacing w:line="0" w:lineRule="atLeast"/>
              <w:jc w:val="center"/>
              <w:rPr>
                <w:sz w:val="18"/>
                <w:szCs w:val="18"/>
              </w:rPr>
            </w:pPr>
            <w:r>
              <w:rPr>
                <w:sz w:val="18"/>
                <w:szCs w:val="18"/>
              </w:rPr>
              <w:t>建筑系数（%）</w:t>
            </w:r>
          </w:p>
        </w:tc>
        <w:tc>
          <w:tcPr>
            <w:tcW w:w="747" w:type="dxa"/>
            <w:vAlign w:val="center"/>
          </w:tcPr>
          <w:p>
            <w:pPr>
              <w:pStyle w:val="12"/>
              <w:spacing w:line="0" w:lineRule="atLeast"/>
              <w:jc w:val="center"/>
              <w:rPr>
                <w:sz w:val="18"/>
                <w:szCs w:val="18"/>
              </w:rPr>
            </w:pPr>
            <w:r>
              <w:rPr>
                <w:sz w:val="18"/>
                <w:szCs w:val="18"/>
              </w:rPr>
              <w:t>绿地率（%）</w:t>
            </w:r>
          </w:p>
        </w:tc>
        <w:tc>
          <w:tcPr>
            <w:tcW w:w="854" w:type="dxa"/>
            <w:vAlign w:val="center"/>
          </w:tcPr>
          <w:p>
            <w:pPr>
              <w:pStyle w:val="12"/>
              <w:spacing w:line="0" w:lineRule="atLeast"/>
              <w:jc w:val="center"/>
              <w:rPr>
                <w:sz w:val="18"/>
                <w:szCs w:val="18"/>
              </w:rPr>
            </w:pPr>
            <w:r>
              <w:rPr>
                <w:sz w:val="18"/>
                <w:szCs w:val="18"/>
              </w:rPr>
              <w:t>机动车停车位配建要求</w:t>
            </w:r>
          </w:p>
        </w:tc>
        <w:tc>
          <w:tcPr>
            <w:tcW w:w="714" w:type="dxa"/>
            <w:vMerge w:val="continue"/>
          </w:tcPr>
          <w:p>
            <w:pPr>
              <w:pStyle w:val="12"/>
              <w:spacing w:line="0" w:lineRule="atLeast"/>
              <w:jc w:val="center"/>
              <w:rPr>
                <w:sz w:val="18"/>
                <w:szCs w:val="18"/>
              </w:rPr>
            </w:pPr>
          </w:p>
        </w:tc>
        <w:tc>
          <w:tcPr>
            <w:tcW w:w="714" w:type="dxa"/>
            <w:vMerge w:val="continue"/>
          </w:tcPr>
          <w:p>
            <w:pPr>
              <w:pStyle w:val="12"/>
              <w:spacing w:line="0" w:lineRule="atLeast"/>
              <w:jc w:val="center"/>
              <w:rPr>
                <w:sz w:val="18"/>
                <w:szCs w:val="18"/>
              </w:rPr>
            </w:pPr>
          </w:p>
        </w:tc>
        <w:tc>
          <w:tcPr>
            <w:tcW w:w="743" w:type="dxa"/>
            <w:vMerge w:val="continue"/>
          </w:tcPr>
          <w:p>
            <w:pPr>
              <w:pStyle w:val="12"/>
              <w:spacing w:line="0" w:lineRule="atLeast"/>
              <w:jc w:val="center"/>
              <w:rPr>
                <w:sz w:val="18"/>
                <w:szCs w:val="18"/>
              </w:rPr>
            </w:pPr>
          </w:p>
        </w:tc>
        <w:tc>
          <w:tcPr>
            <w:tcW w:w="670" w:type="dxa"/>
            <w:vMerge w:val="continue"/>
          </w:tcPr>
          <w:p>
            <w:pPr>
              <w:pStyle w:val="12"/>
              <w:spacing w:line="0" w:lineRule="atLeast"/>
              <w:jc w:val="center"/>
              <w:rPr>
                <w:sz w:val="18"/>
                <w:szCs w:val="18"/>
              </w:rPr>
            </w:pPr>
          </w:p>
        </w:tc>
        <w:tc>
          <w:tcPr>
            <w:tcW w:w="772" w:type="dxa"/>
            <w:vMerge w:val="continue"/>
          </w:tcPr>
          <w:p>
            <w:pPr>
              <w:pStyle w:val="12"/>
              <w:spacing w:line="0" w:lineRule="atLeast"/>
              <w:jc w:val="center"/>
              <w:rPr>
                <w:sz w:val="18"/>
                <w:szCs w:val="18"/>
              </w:rPr>
            </w:pPr>
          </w:p>
        </w:tc>
        <w:tc>
          <w:tcPr>
            <w:tcW w:w="773" w:type="dxa"/>
            <w:vMerge w:val="continue"/>
          </w:tcPr>
          <w:p>
            <w:pPr>
              <w:pStyle w:val="12"/>
              <w:spacing w:line="0" w:lineRule="atLeast"/>
              <w:jc w:val="center"/>
              <w:rPr>
                <w:sz w:val="18"/>
                <w:szCs w:val="18"/>
              </w:rPr>
            </w:pPr>
          </w:p>
        </w:tc>
        <w:tc>
          <w:tcPr>
            <w:tcW w:w="1230" w:type="dxa"/>
            <w:vMerge w:val="continue"/>
          </w:tcPr>
          <w:p>
            <w:pPr>
              <w:pStyle w:val="12"/>
              <w:spacing w:line="0" w:lineRule="atLeast"/>
              <w:jc w:val="center"/>
              <w:rPr>
                <w:sz w:val="18"/>
                <w:szCs w:val="18"/>
              </w:rPr>
            </w:pPr>
          </w:p>
        </w:tc>
        <w:tc>
          <w:tcPr>
            <w:tcW w:w="1095" w:type="dxa"/>
            <w:vMerge w:val="continue"/>
          </w:tcPr>
          <w:p>
            <w:pPr>
              <w:pStyle w:val="12"/>
              <w:spacing w:line="0" w:lineRule="atLeast"/>
              <w:jc w:val="center"/>
              <w:rPr>
                <w:sz w:val="18"/>
                <w:szCs w:val="18"/>
              </w:rPr>
            </w:pPr>
          </w:p>
        </w:tc>
        <w:tc>
          <w:tcPr>
            <w:tcW w:w="1095" w:type="dxa"/>
            <w:vMerge w:val="continue"/>
          </w:tcPr>
          <w:p>
            <w:pPr>
              <w:pStyle w:val="12"/>
              <w:spacing w:line="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2"/>
              <w:spacing w:line="0" w:lineRule="atLeast"/>
              <w:jc w:val="center"/>
              <w:rPr>
                <w:sz w:val="18"/>
                <w:szCs w:val="18"/>
              </w:rPr>
            </w:pPr>
            <w:r>
              <w:rPr>
                <w:sz w:val="18"/>
                <w:szCs w:val="18"/>
              </w:rPr>
              <w:t>惠仲土（用地）挂[202</w:t>
            </w:r>
            <w:r>
              <w:rPr>
                <w:rFonts w:hint="eastAsia"/>
                <w:sz w:val="18"/>
                <w:szCs w:val="18"/>
              </w:rPr>
              <w:t>3</w:t>
            </w:r>
            <w:r>
              <w:rPr>
                <w:sz w:val="18"/>
                <w:szCs w:val="18"/>
              </w:rPr>
              <w:t>]0</w:t>
            </w:r>
            <w:r>
              <w:rPr>
                <w:rFonts w:hint="eastAsia"/>
                <w:sz w:val="18"/>
                <w:szCs w:val="18"/>
                <w:lang w:val="en-US" w:eastAsia="zh-CN"/>
              </w:rPr>
              <w:t>13</w:t>
            </w:r>
            <w:r>
              <w:rPr>
                <w:sz w:val="18"/>
                <w:szCs w:val="18"/>
              </w:rPr>
              <w:t>号</w:t>
            </w:r>
          </w:p>
        </w:tc>
        <w:tc>
          <w:tcPr>
            <w:tcW w:w="709" w:type="dxa"/>
            <w:vAlign w:val="center"/>
          </w:tcPr>
          <w:p>
            <w:pPr>
              <w:pStyle w:val="12"/>
              <w:spacing w:line="0" w:lineRule="atLeast"/>
              <w:jc w:val="center"/>
              <w:rPr>
                <w:kern w:val="0"/>
                <w:sz w:val="18"/>
                <w:szCs w:val="18"/>
              </w:rPr>
            </w:pPr>
            <w:r>
              <w:rPr>
                <w:rFonts w:hint="eastAsia"/>
                <w:sz w:val="18"/>
                <w:szCs w:val="18"/>
              </w:rPr>
              <w:t>惠州潼湖生态智慧区国际合作产业园西区</w:t>
            </w:r>
          </w:p>
        </w:tc>
        <w:tc>
          <w:tcPr>
            <w:tcW w:w="661" w:type="dxa"/>
            <w:vAlign w:val="center"/>
          </w:tcPr>
          <w:p>
            <w:pPr>
              <w:pStyle w:val="12"/>
              <w:spacing w:line="0" w:lineRule="atLeast"/>
              <w:jc w:val="center"/>
              <w:rPr>
                <w:kern w:val="0"/>
                <w:sz w:val="18"/>
                <w:szCs w:val="18"/>
              </w:rPr>
            </w:pPr>
            <w:r>
              <w:rPr>
                <w:rFonts w:hint="eastAsia"/>
                <w:sz w:val="18"/>
                <w:szCs w:val="18"/>
              </w:rPr>
              <w:t>ZKD-007-07-01</w:t>
            </w:r>
          </w:p>
        </w:tc>
        <w:tc>
          <w:tcPr>
            <w:tcW w:w="640" w:type="dxa"/>
            <w:vAlign w:val="center"/>
          </w:tcPr>
          <w:p>
            <w:pPr>
              <w:pStyle w:val="12"/>
              <w:spacing w:line="0" w:lineRule="atLeast"/>
              <w:jc w:val="center"/>
              <w:rPr>
                <w:kern w:val="0"/>
                <w:sz w:val="18"/>
                <w:szCs w:val="18"/>
              </w:rPr>
            </w:pPr>
            <w:r>
              <w:rPr>
                <w:rFonts w:hint="eastAsia"/>
                <w:sz w:val="18"/>
                <w:szCs w:val="18"/>
                <w:lang w:val="en-US" w:eastAsia="zh-CN"/>
              </w:rPr>
              <w:t>42071</w:t>
            </w:r>
            <w:r>
              <w:rPr>
                <w:sz w:val="18"/>
                <w:szCs w:val="18"/>
              </w:rPr>
              <w:t>（其中使用权面积为</w:t>
            </w:r>
            <w:r>
              <w:rPr>
                <w:rFonts w:hint="eastAsia"/>
                <w:sz w:val="18"/>
                <w:szCs w:val="18"/>
                <w:lang w:val="en-US" w:eastAsia="zh-CN"/>
              </w:rPr>
              <w:t>35388</w:t>
            </w:r>
            <w:r>
              <w:rPr>
                <w:sz w:val="18"/>
                <w:szCs w:val="18"/>
              </w:rPr>
              <w:t>㎡）</w:t>
            </w:r>
          </w:p>
        </w:tc>
        <w:tc>
          <w:tcPr>
            <w:tcW w:w="487" w:type="dxa"/>
            <w:vAlign w:val="center"/>
          </w:tcPr>
          <w:p>
            <w:pPr>
              <w:pStyle w:val="12"/>
              <w:spacing w:line="0" w:lineRule="atLeast"/>
              <w:jc w:val="center"/>
              <w:rPr>
                <w:kern w:val="0"/>
                <w:sz w:val="18"/>
                <w:szCs w:val="18"/>
              </w:rPr>
            </w:pPr>
            <w:r>
              <w:rPr>
                <w:sz w:val="18"/>
                <w:szCs w:val="18"/>
              </w:rPr>
              <w:t>工业用地</w:t>
            </w:r>
          </w:p>
        </w:tc>
        <w:tc>
          <w:tcPr>
            <w:tcW w:w="695" w:type="dxa"/>
            <w:vAlign w:val="center"/>
          </w:tcPr>
          <w:p>
            <w:pPr>
              <w:pStyle w:val="12"/>
              <w:spacing w:line="0" w:lineRule="atLeast"/>
              <w:jc w:val="center"/>
              <w:rPr>
                <w:rFonts w:hint="default" w:eastAsia="宋体"/>
                <w:kern w:val="0"/>
                <w:sz w:val="18"/>
                <w:szCs w:val="18"/>
                <w:lang w:val="en-US" w:eastAsia="zh-CN"/>
              </w:rPr>
            </w:pPr>
            <w:r>
              <w:rPr>
                <w:rFonts w:hint="eastAsia"/>
                <w:sz w:val="18"/>
                <w:szCs w:val="18"/>
                <w:lang w:val="en-US" w:eastAsia="zh-CN"/>
              </w:rPr>
              <w:t>42071</w:t>
            </w:r>
          </w:p>
        </w:tc>
        <w:tc>
          <w:tcPr>
            <w:tcW w:w="755" w:type="dxa"/>
            <w:vAlign w:val="center"/>
          </w:tcPr>
          <w:p>
            <w:pPr>
              <w:pStyle w:val="12"/>
              <w:spacing w:line="0" w:lineRule="atLeast"/>
              <w:jc w:val="center"/>
              <w:rPr>
                <w:rFonts w:hint="default" w:eastAsia="宋体"/>
                <w:kern w:val="0"/>
                <w:sz w:val="18"/>
                <w:szCs w:val="18"/>
                <w:lang w:val="en-US" w:eastAsia="zh-CN"/>
              </w:rPr>
            </w:pPr>
            <w:r>
              <w:rPr>
                <w:rFonts w:hint="eastAsia"/>
                <w:sz w:val="18"/>
                <w:szCs w:val="18"/>
                <w:lang w:val="en-US" w:eastAsia="zh-CN"/>
              </w:rPr>
              <w:t>2.0</w:t>
            </w:r>
            <w:r>
              <w:rPr>
                <w:sz w:val="18"/>
                <w:szCs w:val="18"/>
              </w:rPr>
              <w:t>≤R≤</w:t>
            </w:r>
            <w:r>
              <w:rPr>
                <w:rFonts w:hint="eastAsia"/>
                <w:sz w:val="18"/>
                <w:szCs w:val="18"/>
                <w:lang w:val="en-US" w:eastAsia="zh-CN"/>
              </w:rPr>
              <w:t>2.5</w:t>
            </w:r>
          </w:p>
        </w:tc>
        <w:tc>
          <w:tcPr>
            <w:tcW w:w="1000" w:type="dxa"/>
            <w:vAlign w:val="center"/>
          </w:tcPr>
          <w:p>
            <w:pPr>
              <w:pStyle w:val="12"/>
              <w:spacing w:line="0" w:lineRule="atLeast"/>
              <w:jc w:val="center"/>
              <w:rPr>
                <w:rFonts w:hint="default" w:eastAsia="宋体"/>
                <w:kern w:val="0"/>
                <w:sz w:val="18"/>
                <w:szCs w:val="18"/>
                <w:lang w:val="en-US" w:eastAsia="zh-CN"/>
              </w:rPr>
            </w:pPr>
            <w:r>
              <w:rPr>
                <w:rFonts w:hint="eastAsia"/>
                <w:sz w:val="18"/>
                <w:szCs w:val="18"/>
                <w:lang w:val="en-US" w:eastAsia="zh-CN"/>
              </w:rPr>
              <w:t>84142</w:t>
            </w:r>
            <w:r>
              <w:rPr>
                <w:sz w:val="18"/>
                <w:szCs w:val="18"/>
              </w:rPr>
              <w:t>≤S≤</w:t>
            </w:r>
            <w:r>
              <w:rPr>
                <w:rFonts w:hint="eastAsia"/>
                <w:sz w:val="18"/>
                <w:szCs w:val="18"/>
                <w:lang w:val="en-US" w:eastAsia="zh-CN"/>
              </w:rPr>
              <w:t>105177</w:t>
            </w:r>
          </w:p>
        </w:tc>
        <w:tc>
          <w:tcPr>
            <w:tcW w:w="559" w:type="dxa"/>
            <w:vAlign w:val="center"/>
          </w:tcPr>
          <w:p>
            <w:pPr>
              <w:pStyle w:val="12"/>
              <w:spacing w:line="0" w:lineRule="atLeast"/>
              <w:jc w:val="center"/>
              <w:rPr>
                <w:kern w:val="0"/>
                <w:sz w:val="18"/>
                <w:szCs w:val="18"/>
              </w:rPr>
            </w:pPr>
            <w:r>
              <w:rPr>
                <w:sz w:val="18"/>
                <w:szCs w:val="18"/>
              </w:rPr>
              <w:t>≥30</w:t>
            </w:r>
          </w:p>
        </w:tc>
        <w:tc>
          <w:tcPr>
            <w:tcW w:w="747" w:type="dxa"/>
            <w:vAlign w:val="center"/>
          </w:tcPr>
          <w:p>
            <w:pPr>
              <w:pStyle w:val="12"/>
              <w:spacing w:line="0" w:lineRule="atLeast"/>
              <w:jc w:val="center"/>
              <w:rPr>
                <w:kern w:val="0"/>
                <w:sz w:val="18"/>
                <w:szCs w:val="18"/>
              </w:rPr>
            </w:pPr>
            <w:r>
              <w:rPr>
                <w:sz w:val="18"/>
                <w:szCs w:val="18"/>
              </w:rPr>
              <w:t>15≤绿地率≤20</w:t>
            </w:r>
          </w:p>
        </w:tc>
        <w:tc>
          <w:tcPr>
            <w:tcW w:w="854" w:type="dxa"/>
            <w:vAlign w:val="center"/>
          </w:tcPr>
          <w:p>
            <w:pPr>
              <w:pStyle w:val="12"/>
              <w:spacing w:line="0" w:lineRule="atLeast"/>
              <w:jc w:val="center"/>
              <w:rPr>
                <w:kern w:val="0"/>
                <w:sz w:val="18"/>
                <w:szCs w:val="18"/>
              </w:rPr>
            </w:pPr>
            <w:r>
              <w:rPr>
                <w:rFonts w:hint="eastAsia"/>
                <w:kern w:val="0"/>
                <w:sz w:val="18"/>
                <w:szCs w:val="18"/>
              </w:rPr>
              <w:t>按《规划设计条件告知书》要求配建</w:t>
            </w:r>
          </w:p>
        </w:tc>
        <w:tc>
          <w:tcPr>
            <w:tcW w:w="714" w:type="dxa"/>
            <w:vAlign w:val="center"/>
          </w:tcPr>
          <w:p>
            <w:pPr>
              <w:pStyle w:val="12"/>
              <w:spacing w:line="0" w:lineRule="atLeast"/>
              <w:jc w:val="center"/>
              <w:rPr>
                <w:kern w:val="0"/>
                <w:sz w:val="18"/>
                <w:szCs w:val="18"/>
              </w:rPr>
            </w:pPr>
            <w:r>
              <w:rPr>
                <w:rFonts w:hint="eastAsia"/>
                <w:sz w:val="18"/>
                <w:szCs w:val="18"/>
              </w:rPr>
              <w:t>50</w:t>
            </w:r>
          </w:p>
        </w:tc>
        <w:tc>
          <w:tcPr>
            <w:tcW w:w="714" w:type="dxa"/>
            <w:vAlign w:val="center"/>
          </w:tcPr>
          <w:p>
            <w:pPr>
              <w:pStyle w:val="12"/>
              <w:spacing w:line="0" w:lineRule="atLeast"/>
              <w:jc w:val="center"/>
              <w:rPr>
                <w:rFonts w:hint="default" w:eastAsia="宋体"/>
                <w:kern w:val="0"/>
                <w:sz w:val="18"/>
                <w:szCs w:val="18"/>
                <w:lang w:val="en-US" w:eastAsia="zh-CN"/>
              </w:rPr>
            </w:pPr>
            <w:r>
              <w:rPr>
                <w:rFonts w:hint="eastAsia"/>
                <w:sz w:val="18"/>
                <w:szCs w:val="18"/>
                <w:lang w:val="en-US" w:eastAsia="zh-CN"/>
              </w:rPr>
              <w:t>4361</w:t>
            </w:r>
          </w:p>
        </w:tc>
        <w:tc>
          <w:tcPr>
            <w:tcW w:w="743" w:type="dxa"/>
            <w:vAlign w:val="center"/>
          </w:tcPr>
          <w:p>
            <w:pPr>
              <w:pStyle w:val="12"/>
              <w:spacing w:line="0" w:lineRule="atLeast"/>
              <w:jc w:val="center"/>
              <w:rPr>
                <w:rFonts w:hint="default" w:eastAsia="宋体"/>
                <w:kern w:val="0"/>
                <w:sz w:val="18"/>
                <w:szCs w:val="18"/>
                <w:lang w:val="en-US" w:eastAsia="zh-CN"/>
              </w:rPr>
            </w:pPr>
            <w:r>
              <w:rPr>
                <w:rFonts w:hint="eastAsia"/>
                <w:sz w:val="18"/>
                <w:szCs w:val="18"/>
                <w:lang w:val="en-US" w:eastAsia="zh-CN"/>
              </w:rPr>
              <w:t>50</w:t>
            </w:r>
          </w:p>
        </w:tc>
        <w:tc>
          <w:tcPr>
            <w:tcW w:w="670" w:type="dxa"/>
            <w:vAlign w:val="center"/>
          </w:tcPr>
          <w:p>
            <w:pPr>
              <w:pStyle w:val="12"/>
              <w:spacing w:line="0" w:lineRule="atLeast"/>
              <w:jc w:val="center"/>
              <w:rPr>
                <w:rFonts w:hint="default" w:eastAsia="宋体"/>
                <w:kern w:val="0"/>
                <w:sz w:val="18"/>
                <w:szCs w:val="18"/>
                <w:lang w:val="en-US" w:eastAsia="zh-CN"/>
              </w:rPr>
            </w:pPr>
            <w:r>
              <w:rPr>
                <w:rFonts w:hint="eastAsia"/>
                <w:sz w:val="18"/>
                <w:szCs w:val="18"/>
                <w:lang w:val="en-US" w:eastAsia="zh-CN"/>
              </w:rPr>
              <w:t>873</w:t>
            </w:r>
          </w:p>
        </w:tc>
        <w:tc>
          <w:tcPr>
            <w:tcW w:w="772" w:type="dxa"/>
            <w:vAlign w:val="center"/>
          </w:tcPr>
          <w:p>
            <w:pPr>
              <w:pStyle w:val="12"/>
              <w:spacing w:line="0" w:lineRule="atLeast"/>
              <w:jc w:val="center"/>
              <w:rPr>
                <w:sz w:val="18"/>
                <w:szCs w:val="18"/>
              </w:rPr>
            </w:pPr>
            <w:r>
              <w:rPr>
                <w:sz w:val="18"/>
                <w:szCs w:val="18"/>
              </w:rPr>
              <w:t>2023</w:t>
            </w:r>
            <w:r>
              <w:rPr>
                <w:rFonts w:hint="eastAsia"/>
                <w:sz w:val="18"/>
                <w:szCs w:val="18"/>
              </w:rPr>
              <w:t>年</w:t>
            </w:r>
            <w:r>
              <w:rPr>
                <w:rFonts w:hint="eastAsia"/>
                <w:sz w:val="18"/>
                <w:szCs w:val="18"/>
                <w:lang w:val="en-US" w:eastAsia="zh-CN"/>
              </w:rPr>
              <w:t>3</w:t>
            </w:r>
            <w:r>
              <w:rPr>
                <w:rFonts w:hint="eastAsia"/>
                <w:sz w:val="18"/>
                <w:szCs w:val="18"/>
              </w:rPr>
              <w:t>月</w:t>
            </w:r>
            <w:r>
              <w:rPr>
                <w:rFonts w:hint="eastAsia"/>
                <w:sz w:val="18"/>
                <w:szCs w:val="18"/>
                <w:lang w:val="en-US" w:eastAsia="zh-CN"/>
              </w:rPr>
              <w:t>27</w:t>
            </w:r>
            <w:r>
              <w:rPr>
                <w:rFonts w:hint="eastAsia"/>
                <w:sz w:val="18"/>
                <w:szCs w:val="18"/>
              </w:rPr>
              <w:t>日</w:t>
            </w:r>
            <w:r>
              <w:rPr>
                <w:sz w:val="18"/>
                <w:szCs w:val="18"/>
              </w:rPr>
              <w:t>9</w:t>
            </w:r>
            <w:r>
              <w:rPr>
                <w:rFonts w:hint="eastAsia"/>
                <w:sz w:val="18"/>
                <w:szCs w:val="18"/>
              </w:rPr>
              <w:t>时</w:t>
            </w:r>
          </w:p>
        </w:tc>
        <w:tc>
          <w:tcPr>
            <w:tcW w:w="773" w:type="dxa"/>
            <w:vAlign w:val="center"/>
          </w:tcPr>
          <w:p>
            <w:pPr>
              <w:pStyle w:val="12"/>
              <w:spacing w:line="0" w:lineRule="atLeast"/>
              <w:jc w:val="center"/>
              <w:rPr>
                <w:kern w:val="0"/>
                <w:sz w:val="18"/>
                <w:szCs w:val="18"/>
              </w:rPr>
            </w:pPr>
            <w:r>
              <w:rPr>
                <w:rFonts w:hint="eastAsia"/>
                <w:sz w:val="18"/>
                <w:szCs w:val="18"/>
              </w:rPr>
              <w:t>≥</w:t>
            </w:r>
            <w:r>
              <w:rPr>
                <w:rFonts w:hint="eastAsia"/>
                <w:sz w:val="18"/>
                <w:szCs w:val="18"/>
                <w:lang w:val="en-US" w:eastAsia="zh-CN"/>
              </w:rPr>
              <w:t xml:space="preserve"> 11885</w:t>
            </w:r>
            <w:r>
              <w:rPr>
                <w:rFonts w:hint="eastAsia"/>
                <w:sz w:val="18"/>
                <w:szCs w:val="18"/>
              </w:rPr>
              <w:t>元/㎡</w:t>
            </w:r>
          </w:p>
        </w:tc>
        <w:tc>
          <w:tcPr>
            <w:tcW w:w="1230" w:type="dxa"/>
            <w:vAlign w:val="center"/>
          </w:tcPr>
          <w:p>
            <w:pPr>
              <w:pStyle w:val="12"/>
              <w:spacing w:line="0" w:lineRule="atLeast"/>
              <w:jc w:val="center"/>
              <w:rPr>
                <w:kern w:val="0"/>
                <w:sz w:val="18"/>
                <w:szCs w:val="18"/>
              </w:rPr>
            </w:pPr>
            <w:r>
              <w:rPr>
                <w:rFonts w:hint="eastAsia"/>
                <w:sz w:val="18"/>
                <w:szCs w:val="18"/>
              </w:rPr>
              <w:t>锂离子电池自动化、智能化生产成套制造装备产业</w:t>
            </w:r>
          </w:p>
        </w:tc>
        <w:tc>
          <w:tcPr>
            <w:tcW w:w="1095" w:type="dxa"/>
            <w:vAlign w:val="center"/>
          </w:tcPr>
          <w:p>
            <w:pPr>
              <w:pStyle w:val="12"/>
              <w:spacing w:line="0" w:lineRule="atLeast"/>
              <w:jc w:val="center"/>
              <w:rPr>
                <w:sz w:val="18"/>
                <w:szCs w:val="18"/>
              </w:rPr>
            </w:pPr>
            <w:r>
              <w:rPr>
                <w:rFonts w:hint="eastAsia"/>
                <w:sz w:val="18"/>
                <w:szCs w:val="18"/>
                <w:lang w:eastAsia="zh-CN"/>
              </w:rPr>
              <w:t>惠州仲恺高新技术产业开发区经济发展局</w:t>
            </w:r>
          </w:p>
        </w:tc>
        <w:tc>
          <w:tcPr>
            <w:tcW w:w="1095" w:type="dxa"/>
            <w:vAlign w:val="center"/>
          </w:tcPr>
          <w:p>
            <w:pPr>
              <w:pStyle w:val="12"/>
              <w:spacing w:line="0" w:lineRule="atLeast"/>
              <w:jc w:val="center"/>
              <w:rPr>
                <w:sz w:val="18"/>
                <w:szCs w:val="18"/>
              </w:rPr>
            </w:pPr>
            <w:r>
              <w:rPr>
                <w:kern w:val="0"/>
                <w:sz w:val="18"/>
                <w:szCs w:val="18"/>
              </w:rPr>
              <w:t>行政办公及生活服务配套设施用地面积不得超过总用地面积的</w:t>
            </w:r>
            <w:r>
              <w:rPr>
                <w:rFonts w:hint="eastAsia"/>
                <w:kern w:val="0"/>
                <w:sz w:val="18"/>
                <w:szCs w:val="18"/>
              </w:rPr>
              <w:t>7</w:t>
            </w:r>
            <w:r>
              <w:rPr>
                <w:kern w:val="0"/>
                <w:sz w:val="18"/>
                <w:szCs w:val="18"/>
              </w:rPr>
              <w:t>%</w:t>
            </w:r>
          </w:p>
        </w:tc>
      </w:tr>
    </w:tbl>
    <w:p>
      <w:pPr>
        <w:pStyle w:val="2"/>
      </w:pP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MjkwYzUxNzNhNWI0MDRhYWMzNzIzMzI4MjUwMzcifQ=="/>
  </w:docVars>
  <w:rsids>
    <w:rsidRoot w:val="71FB1ABE"/>
    <w:rsid w:val="045105B6"/>
    <w:rsid w:val="058A138B"/>
    <w:rsid w:val="08055CAB"/>
    <w:rsid w:val="0848533A"/>
    <w:rsid w:val="0BE235BB"/>
    <w:rsid w:val="10ED7AE7"/>
    <w:rsid w:val="16B0051C"/>
    <w:rsid w:val="1A1A0363"/>
    <w:rsid w:val="1B9D6B0E"/>
    <w:rsid w:val="1F98238D"/>
    <w:rsid w:val="220B2CE7"/>
    <w:rsid w:val="23AD4CDF"/>
    <w:rsid w:val="23B168DA"/>
    <w:rsid w:val="28B10AB2"/>
    <w:rsid w:val="2C656693"/>
    <w:rsid w:val="2DBF648A"/>
    <w:rsid w:val="2E9B217D"/>
    <w:rsid w:val="31962890"/>
    <w:rsid w:val="383E1D77"/>
    <w:rsid w:val="39875E43"/>
    <w:rsid w:val="3CD00C90"/>
    <w:rsid w:val="41A6583F"/>
    <w:rsid w:val="4C6709DD"/>
    <w:rsid w:val="4E4A17FE"/>
    <w:rsid w:val="508C1DCB"/>
    <w:rsid w:val="51E910B1"/>
    <w:rsid w:val="56C2517C"/>
    <w:rsid w:val="5B6E2B54"/>
    <w:rsid w:val="5E7E7DF8"/>
    <w:rsid w:val="60DE67F4"/>
    <w:rsid w:val="64131D21"/>
    <w:rsid w:val="67E718D7"/>
    <w:rsid w:val="6D967499"/>
    <w:rsid w:val="71FB1ABE"/>
    <w:rsid w:val="74AA42AD"/>
    <w:rsid w:val="763A3FE7"/>
    <w:rsid w:val="78323697"/>
    <w:rsid w:val="783258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9">
    <w:name w:val="我的正文"/>
    <w:basedOn w:val="10"/>
    <w:qFormat/>
    <w:uiPriority w:val="0"/>
    <w:pPr>
      <w:spacing w:line="560" w:lineRule="exact"/>
      <w:ind w:firstLine="200" w:firstLineChars="200"/>
    </w:pPr>
    <w:rPr>
      <w:rFonts w:eastAsia="仿宋_GB2312"/>
      <w:sz w:val="32"/>
      <w:szCs w:val="32"/>
    </w:rPr>
  </w:style>
  <w:style w:type="paragraph" w:customStyle="1" w:styleId="10">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1">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p0"/>
    <w:basedOn w:val="1"/>
    <w:qFormat/>
    <w:uiPriority w:val="0"/>
    <w:pPr>
      <w:widowControl/>
    </w:pPr>
    <w:rPr>
      <w:kern w:val="0"/>
      <w:szCs w:val="21"/>
    </w:rPr>
  </w:style>
  <w:style w:type="paragraph" w:customStyle="1" w:styleId="14">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3268</Words>
  <Characters>3620</Characters>
  <Lines>0</Lines>
  <Paragraphs>0</Paragraphs>
  <TotalTime>1</TotalTime>
  <ScaleCrop>false</ScaleCrop>
  <LinksUpToDate>false</LinksUpToDate>
  <CharactersWithSpaces>3658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2022-09-19T08:06:00Z</dcterms:created>
  <dc:creator>林志强</dc:creator>
  <cp:lastModifiedBy>✨亮亮✨</cp:lastModifiedBy>
  <cp:lastPrinted>2022-11-14T09:32:00Z</cp:lastPrinted>
  <dcterms:modified xsi:type="dcterms:W3CDTF">2023-02-20T07:20:03Z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1D4C73103A694484A076E64D61A05A0B</vt:lpwstr>
  </property>
</Properties>
</file>